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B22AB">
      <w:pPr>
        <w:kinsoku w:val="0"/>
        <w:overflowPunct w:val="0"/>
        <w:autoSpaceDE/>
        <w:autoSpaceDN/>
        <w:adjustRightInd/>
        <w:spacing w:line="257"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TAT-3169-2017</w:t>
      </w:r>
    </w:p>
    <w:p w:rsidR="00000000" w:rsidRDefault="002B22AB">
      <w:pPr>
        <w:kinsoku w:val="0"/>
        <w:overflowPunct w:val="0"/>
        <w:autoSpaceDE/>
        <w:autoSpaceDN/>
        <w:adjustRightInd/>
        <w:spacing w:before="543" w:line="268"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cuarenta minutos del primero de febrero dos mil diecisiete.</w:t>
      </w:r>
    </w:p>
    <w:p w:rsidR="00000000" w:rsidRDefault="002B22AB">
      <w:pPr>
        <w:kinsoku w:val="0"/>
        <w:overflowPunct w:val="0"/>
        <w:autoSpaceDE/>
        <w:autoSpaceDN/>
        <w:adjustRightInd/>
        <w:spacing w:before="267" w:line="268"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C</w:t>
      </w:r>
      <w:r w:rsidR="00D326D3">
        <w:rPr>
          <w:rFonts w:ascii="Verdana" w:hAnsi="Verdana" w:cs="Verdana"/>
          <w:b/>
          <w:bCs/>
          <w:sz w:val="22"/>
          <w:szCs w:val="22"/>
          <w:lang w:val="es-ES" w:eastAsia="es-ES"/>
        </w:rPr>
        <w:t>.J.H.,</w:t>
      </w:r>
      <w:r>
        <w:rPr>
          <w:rFonts w:ascii="Verdana" w:hAnsi="Verdana" w:cs="Verdana"/>
          <w:b/>
          <w:bCs/>
          <w:sz w:val="22"/>
          <w:szCs w:val="22"/>
          <w:lang w:val="es-ES" w:eastAsia="es-ES"/>
        </w:rPr>
        <w:t xml:space="preserve"> cédula de identidad número </w:t>
      </w:r>
      <w:r w:rsidR="00D326D3">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7.2 de la Sesión Ordinaria 40-2016 de 18 de </w:t>
      </w:r>
      <w:r>
        <w:rPr>
          <w:rFonts w:ascii="Verdana" w:hAnsi="Verdana" w:cs="Verdana"/>
          <w:b/>
          <w:bCs/>
          <w:sz w:val="22"/>
          <w:szCs w:val="22"/>
          <w:lang w:val="es-ES" w:eastAsia="es-ES"/>
        </w:rPr>
        <w:t xml:space="preserve">agosto de 2016,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TAT-186-16.</w:t>
      </w:r>
    </w:p>
    <w:p w:rsidR="00000000" w:rsidRDefault="002B22AB">
      <w:pPr>
        <w:kinsoku w:val="0"/>
        <w:overflowPunct w:val="0"/>
        <w:autoSpaceDE/>
        <w:autoSpaceDN/>
        <w:adjustRightInd/>
        <w:spacing w:before="532" w:line="262"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000000" w:rsidRDefault="002B22AB" w:rsidP="00D326D3">
      <w:pPr>
        <w:kinsoku w:val="0"/>
        <w:overflowPunct w:val="0"/>
        <w:autoSpaceDE/>
        <w:autoSpaceDN/>
        <w:adjustRightInd/>
        <w:spacing w:before="286" w:line="266" w:lineRule="exact"/>
        <w:ind w:right="144"/>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PRIMERO: </w:t>
      </w:r>
      <w:r>
        <w:rPr>
          <w:rFonts w:ascii="Verdana" w:hAnsi="Verdana" w:cs="Verdana"/>
          <w:spacing w:val="-1"/>
          <w:sz w:val="22"/>
          <w:szCs w:val="22"/>
          <w:lang w:val="es-ES" w:eastAsia="es-ES"/>
        </w:rPr>
        <w:t xml:space="preserve">La JUNTA DIRECTIVA DEL CONSEJO DE TRANSPORTE PÚBLICO, mediante </w:t>
      </w:r>
      <w:r>
        <w:rPr>
          <w:rFonts w:ascii="Verdana" w:hAnsi="Verdana" w:cs="Verdana"/>
          <w:b/>
          <w:bCs/>
          <w:spacing w:val="-1"/>
          <w:sz w:val="22"/>
          <w:szCs w:val="22"/>
          <w:lang w:val="es-ES" w:eastAsia="es-ES"/>
        </w:rPr>
        <w:t>artícu</w:t>
      </w:r>
      <w:r>
        <w:rPr>
          <w:rFonts w:ascii="Verdana" w:hAnsi="Verdana" w:cs="Verdana"/>
          <w:b/>
          <w:bCs/>
          <w:spacing w:val="-1"/>
          <w:sz w:val="22"/>
          <w:szCs w:val="22"/>
          <w:lang w:val="es-ES" w:eastAsia="es-ES"/>
        </w:rPr>
        <w:t xml:space="preserve">lo 7.2 de la Sesión Ordinaria 40-2016 de 18 de agosto de 2016, </w:t>
      </w:r>
      <w:r>
        <w:rPr>
          <w:rFonts w:ascii="Verdana" w:hAnsi="Verdana" w:cs="Verdana"/>
          <w:spacing w:val="-1"/>
          <w:sz w:val="22"/>
          <w:szCs w:val="22"/>
          <w:lang w:val="es-ES" w:eastAsia="es-ES"/>
        </w:rPr>
        <w:t xml:space="preserve">acuerda </w:t>
      </w:r>
      <w:r>
        <w:rPr>
          <w:rFonts w:ascii="Verdana" w:hAnsi="Verdana" w:cs="Verdana"/>
          <w:i/>
          <w:iCs/>
          <w:spacing w:val="-1"/>
          <w:sz w:val="22"/>
          <w:szCs w:val="22"/>
          <w:lang w:val="es-ES" w:eastAsia="es-ES"/>
        </w:rPr>
        <w:t xml:space="preserve">"1. Aprobar, basados en los fundamentos, motivos y contenidos, desarrollados en los considerandos del oficio (sic) </w:t>
      </w:r>
      <w:r w:rsidR="00D326D3">
        <w:rPr>
          <w:rFonts w:ascii="Verdana" w:hAnsi="Verdana" w:cs="Verdana"/>
          <w:b/>
          <w:bCs/>
          <w:i/>
          <w:iCs/>
          <w:spacing w:val="-1"/>
          <w:sz w:val="22"/>
          <w:szCs w:val="22"/>
          <w:lang w:val="es-ES" w:eastAsia="es-ES"/>
        </w:rPr>
        <w:t>DAJ</w:t>
      </w:r>
      <w:r>
        <w:rPr>
          <w:rFonts w:ascii="Verdana" w:hAnsi="Verdana" w:cs="Verdana"/>
          <w:b/>
          <w:bCs/>
          <w:i/>
          <w:iCs/>
          <w:spacing w:val="-1"/>
          <w:sz w:val="22"/>
          <w:szCs w:val="22"/>
          <w:lang w:val="es-ES" w:eastAsia="es-ES"/>
        </w:rPr>
        <w:t xml:space="preserve"> 2016-002898 </w:t>
      </w:r>
      <w:r>
        <w:rPr>
          <w:rFonts w:ascii="Verdana" w:hAnsi="Verdana" w:cs="Verdana"/>
          <w:b/>
          <w:bCs/>
          <w:spacing w:val="-1"/>
          <w:sz w:val="22"/>
          <w:szCs w:val="22"/>
          <w:lang w:val="es-ES" w:eastAsia="es-ES"/>
        </w:rPr>
        <w:t xml:space="preserve">y </w:t>
      </w:r>
      <w:r>
        <w:rPr>
          <w:rFonts w:ascii="Verdana" w:hAnsi="Verdana" w:cs="Verdana"/>
          <w:b/>
          <w:bCs/>
          <w:i/>
          <w:iCs/>
          <w:spacing w:val="-1"/>
          <w:sz w:val="22"/>
          <w:szCs w:val="22"/>
          <w:lang w:val="es-ES" w:eastAsia="es-ES"/>
        </w:rPr>
        <w:t xml:space="preserve">DE 2016-2135, </w:t>
      </w:r>
      <w:r>
        <w:rPr>
          <w:rFonts w:ascii="Verdana" w:hAnsi="Verdana" w:cs="Verdana"/>
          <w:i/>
          <w:iCs/>
          <w:spacing w:val="-1"/>
          <w:sz w:val="22"/>
          <w:szCs w:val="22"/>
          <w:lang w:val="es-ES" w:eastAsia="es-ES"/>
        </w:rPr>
        <w:t xml:space="preserve">todas las recomendaciones emitidas en </w:t>
      </w:r>
      <w:r>
        <w:rPr>
          <w:rFonts w:ascii="Verdana" w:hAnsi="Verdana" w:cs="Verdana"/>
          <w:i/>
          <w:iCs/>
          <w:spacing w:val="-1"/>
          <w:sz w:val="22"/>
          <w:szCs w:val="22"/>
          <w:lang w:val="es-ES" w:eastAsia="es-ES"/>
        </w:rPr>
        <w:t>el mismo, el cual forma parte integral de este acuerdo. 2. Cancelar de manera automática la concesión de taxi a las siguientes personas, por vencimiento del plazo y no haber</w:t>
      </w:r>
      <w:r w:rsidR="00D326D3">
        <w:rPr>
          <w:rFonts w:ascii="Verdana" w:hAnsi="Verdana" w:cs="Verdana"/>
          <w:i/>
          <w:iCs/>
          <w:spacing w:val="-1"/>
          <w:sz w:val="22"/>
          <w:szCs w:val="22"/>
          <w:lang w:val="es-ES" w:eastAsia="es-ES"/>
        </w:rPr>
        <w:t xml:space="preserve"> </w:t>
      </w:r>
      <w:r>
        <w:rPr>
          <w:rFonts w:ascii="Verdana" w:hAnsi="Verdana" w:cs="Verdana"/>
          <w:i/>
          <w:iCs/>
          <w:spacing w:val="-1"/>
          <w:sz w:val="22"/>
          <w:szCs w:val="22"/>
          <w:lang w:val="es-ES" w:eastAsia="es-ES"/>
        </w:rPr>
        <w:t>gestionado la renovaci</w:t>
      </w:r>
      <w:r w:rsidR="00D326D3">
        <w:rPr>
          <w:rFonts w:ascii="Verdana" w:hAnsi="Verdana" w:cs="Verdana"/>
          <w:i/>
          <w:iCs/>
          <w:spacing w:val="-1"/>
          <w:sz w:val="22"/>
          <w:szCs w:val="22"/>
          <w:lang w:val="es-ES" w:eastAsia="es-ES"/>
        </w:rPr>
        <w:t>ón antes de vencer la concesión:…</w:t>
      </w:r>
      <w:r>
        <w:rPr>
          <w:rFonts w:ascii="Verdana" w:hAnsi="Verdana" w:cs="Verdana"/>
          <w:i/>
          <w:iCs/>
          <w:spacing w:val="-1"/>
          <w:sz w:val="22"/>
          <w:szCs w:val="22"/>
          <w:lang w:val="es-ES" w:eastAsia="es-ES"/>
        </w:rPr>
        <w:tab/>
        <w:t xml:space="preserve"> C</w:t>
      </w:r>
      <w:r w:rsidR="00D326D3">
        <w:rPr>
          <w:rFonts w:ascii="Verdana" w:hAnsi="Verdana" w:cs="Verdana"/>
          <w:i/>
          <w:iCs/>
          <w:spacing w:val="-1"/>
          <w:sz w:val="22"/>
          <w:szCs w:val="22"/>
          <w:lang w:val="es-ES" w:eastAsia="es-ES"/>
        </w:rPr>
        <w:t>.G.J.H.</w:t>
      </w:r>
      <w:r>
        <w:rPr>
          <w:rFonts w:ascii="Verdana" w:hAnsi="Verdana" w:cs="Verdana"/>
          <w:i/>
          <w:iCs/>
          <w:spacing w:val="-1"/>
          <w:sz w:val="22"/>
          <w:szCs w:val="22"/>
          <w:lang w:val="es-ES" w:eastAsia="es-ES"/>
        </w:rPr>
        <w:t>.. 3. Tener por canceladas las concesiones de Taxi indicadas en el punto anterior, dado que las mismas no se encuentran con plazo vigente, y los concesionarios nunca acudieron a la formalización de la renovación promovida por la Administración Conc</w:t>
      </w:r>
      <w:r>
        <w:rPr>
          <w:rFonts w:ascii="Verdana" w:hAnsi="Verdana" w:cs="Verdana"/>
          <w:i/>
          <w:iCs/>
          <w:spacing w:val="-1"/>
          <w:sz w:val="22"/>
          <w:szCs w:val="22"/>
          <w:lang w:val="es-ES" w:eastAsia="es-ES"/>
        </w:rPr>
        <w:t xml:space="preserve">edente, ni tampoco solicitaron la renovación antes del vencimiento de la concesión... 4. Instruir al Departamento de Administración de Concesiones y Permisos, realice los trámites necesarios y pertinentes, para desinscribir los códigos de servicio público </w:t>
      </w:r>
      <w:r>
        <w:rPr>
          <w:rFonts w:ascii="Verdana" w:hAnsi="Verdana" w:cs="Verdana"/>
          <w:i/>
          <w:iCs/>
          <w:spacing w:val="-1"/>
          <w:sz w:val="22"/>
          <w:szCs w:val="22"/>
          <w:lang w:val="es-ES" w:eastAsia="es-ES"/>
        </w:rPr>
        <w:t>(placas de Taxi) de las unidades de taxi indicadas supra, ante el Registro Nacional, recuperar las placas metálicas, e informar a las autoridades competentes. Para tales efectos se le remiten los ciento setenta y cinco expedientes de dichas placas que se e</w:t>
      </w:r>
      <w:r>
        <w:rPr>
          <w:rFonts w:ascii="Verdana" w:hAnsi="Verdana" w:cs="Verdana"/>
          <w:i/>
          <w:iCs/>
          <w:spacing w:val="-1"/>
          <w:sz w:val="22"/>
          <w:szCs w:val="22"/>
          <w:lang w:val="es-ES" w:eastAsia="es-ES"/>
        </w:rPr>
        <w:t xml:space="preserve">ncuentran en la Secretaria de Actas..."(Léanse </w:t>
      </w:r>
      <w:r>
        <w:rPr>
          <w:rFonts w:ascii="Verdana" w:hAnsi="Verdana" w:cs="Verdana"/>
          <w:spacing w:val="-1"/>
          <w:sz w:val="22"/>
          <w:szCs w:val="22"/>
          <w:lang w:val="es-ES" w:eastAsia="es-ES"/>
        </w:rPr>
        <w:t>folios del 21 al 28 del expediente administrativo)</w:t>
      </w:r>
    </w:p>
    <w:p w:rsidR="00000000" w:rsidRDefault="002B22AB">
      <w:pPr>
        <w:kinsoku w:val="0"/>
        <w:overflowPunct w:val="0"/>
        <w:autoSpaceDE/>
        <w:autoSpaceDN/>
        <w:adjustRightInd/>
        <w:spacing w:before="316" w:after="614" w:line="268"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El recurrente presenta Recurso de Apelación contra el acuerdo impugnado indicando en lo conducente, que no es cierto que no gestionó la renovación de</w:t>
      </w:r>
      <w:r>
        <w:rPr>
          <w:rFonts w:ascii="Verdana" w:hAnsi="Verdana" w:cs="Verdana"/>
          <w:sz w:val="22"/>
          <w:szCs w:val="22"/>
          <w:lang w:val="es-ES" w:eastAsia="es-ES"/>
        </w:rPr>
        <w:t xml:space="preserve"> su concesión pues si lo hizo y presentó la solicitud y firmó un contrato del que se le dijo se le notificaría en febrero y marzo de 2016, cuando estuviera firmado por los funcionarios competentes. El acto impugnado es</w:t>
      </w:r>
    </w:p>
    <w:p w:rsidR="00000000" w:rsidRDefault="002B22AB">
      <w:pPr>
        <w:widowControl/>
        <w:rPr>
          <w:sz w:val="24"/>
          <w:szCs w:val="24"/>
        </w:rPr>
        <w:sectPr w:rsidR="00000000">
          <w:pgSz w:w="12250" w:h="15782"/>
          <w:pgMar w:top="1480" w:right="1457" w:bottom="251" w:left="1733" w:header="720" w:footer="720" w:gutter="0"/>
          <w:cols w:space="720"/>
          <w:noEndnote/>
        </w:sectPr>
      </w:pPr>
    </w:p>
    <w:p w:rsidR="00000000" w:rsidRDefault="002B22AB">
      <w:pPr>
        <w:widowControl/>
        <w:rPr>
          <w:sz w:val="24"/>
          <w:szCs w:val="24"/>
        </w:rPr>
        <w:sectPr w:rsidR="00000000">
          <w:type w:val="continuous"/>
          <w:pgSz w:w="12250" w:h="15782"/>
          <w:pgMar w:top="1480" w:right="1650" w:bottom="251" w:left="7560" w:header="720" w:footer="720" w:gutter="0"/>
          <w:cols w:space="720"/>
          <w:noEndnote/>
        </w:sectPr>
      </w:pPr>
    </w:p>
    <w:p w:rsidR="00000000" w:rsidRDefault="002B22AB">
      <w:pPr>
        <w:kinsoku w:val="0"/>
        <w:overflowPunct w:val="0"/>
        <w:autoSpaceDE/>
        <w:autoSpaceDN/>
        <w:adjustRightInd/>
        <w:spacing w:before="1" w:line="268" w:lineRule="exact"/>
        <w:ind w:left="144" w:right="72"/>
        <w:jc w:val="both"/>
        <w:textAlignment w:val="baseline"/>
        <w:rPr>
          <w:rFonts w:ascii="Verdana" w:hAnsi="Verdana" w:cs="Verdana"/>
          <w:sz w:val="22"/>
          <w:szCs w:val="22"/>
          <w:lang w:val="es-ES" w:eastAsia="es-ES"/>
        </w:rPr>
      </w:pPr>
      <w:r w:rsidRPr="007B0925">
        <w:rPr>
          <w:rFonts w:ascii="Verdana" w:hAnsi="Verdana" w:cs="Verdana"/>
          <w:sz w:val="22"/>
          <w:szCs w:val="22"/>
          <w:lang w:val="es-ES" w:eastAsia="es-ES"/>
        </w:rPr>
        <w:lastRenderedPageBreak/>
        <w:t>arbitrario lo deja en estado de indefensión pues dada la naturaleza del acto el medio para suprimirle un derecho subjetivo es por medio de un procedimiento administrativo, ademá</w:t>
      </w:r>
      <w:r w:rsidRPr="007B0925">
        <w:rPr>
          <w:rFonts w:ascii="Verdana" w:hAnsi="Verdana" w:cs="Verdana"/>
          <w:sz w:val="22"/>
          <w:szCs w:val="22"/>
          <w:lang w:val="es-ES" w:eastAsia="es-ES"/>
        </w:rPr>
        <w:t xml:space="preserve">s de que se violenta el numeral 136 de la LAGP y los artículos 39 y 41 de la Constitución Política. No ha tenido acceso expedito al expediente administrativo y por tal razón hay aspectos que no recuerda dado el tiempo transcurrido. Solicita se declare con </w:t>
      </w:r>
      <w:r w:rsidRPr="007B0925">
        <w:rPr>
          <w:rFonts w:ascii="Verdana" w:hAnsi="Verdana" w:cs="Verdana"/>
          <w:sz w:val="22"/>
          <w:szCs w:val="22"/>
          <w:lang w:val="es-ES" w:eastAsia="es-ES"/>
        </w:rPr>
        <w:t>lugar el recurso. (Léanse folios del 14 al 20 del expediente administrativo)</w:t>
      </w:r>
    </w:p>
    <w:p w:rsidR="00000000" w:rsidRDefault="002B22AB">
      <w:pPr>
        <w:kinsoku w:val="0"/>
        <w:overflowPunct w:val="0"/>
        <w:autoSpaceDE/>
        <w:autoSpaceDN/>
        <w:adjustRightInd/>
        <w:spacing w:before="259" w:line="268"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7.11.9 de la Sesión Ordinaria 58-2016 de 16 de noviembre de 2016, </w:t>
      </w:r>
      <w:r>
        <w:rPr>
          <w:rFonts w:ascii="Verdana" w:hAnsi="Verdana" w:cs="Verdana"/>
          <w:sz w:val="22"/>
          <w:szCs w:val="22"/>
          <w:lang w:val="es-ES" w:eastAsia="es-ES"/>
        </w:rPr>
        <w:t>conoce y avala el informe de la D</w:t>
      </w:r>
      <w:r>
        <w:rPr>
          <w:rFonts w:ascii="Verdana" w:hAnsi="Verdana" w:cs="Verdana"/>
          <w:sz w:val="22"/>
          <w:szCs w:val="22"/>
          <w:lang w:val="es-ES" w:eastAsia="es-ES"/>
        </w:rPr>
        <w:t xml:space="preserve">irección Asuntos Jurídicos el </w:t>
      </w:r>
      <w:r>
        <w:rPr>
          <w:rFonts w:ascii="Verdana" w:hAnsi="Verdana" w:cs="Verdana"/>
          <w:b/>
          <w:bCs/>
          <w:sz w:val="22"/>
          <w:szCs w:val="22"/>
          <w:lang w:val="es-ES" w:eastAsia="es-ES"/>
        </w:rPr>
        <w:t xml:space="preserve">DM-2016003779 de 4 de noviembre de 2016 y rechaza el Recurso de Revocatoria y la Nulidad invocadas por improcedente. </w:t>
      </w:r>
      <w:r>
        <w:rPr>
          <w:rFonts w:ascii="Verdana" w:hAnsi="Verdana" w:cs="Verdana"/>
          <w:sz w:val="22"/>
          <w:szCs w:val="22"/>
          <w:lang w:val="es-ES" w:eastAsia="es-ES"/>
        </w:rPr>
        <w:t>(léanse folios del 1 al 5 del expediente administrativo)</w:t>
      </w:r>
    </w:p>
    <w:p w:rsidR="00000000" w:rsidRDefault="002B22AB">
      <w:pPr>
        <w:kinsoku w:val="0"/>
        <w:overflowPunct w:val="0"/>
        <w:autoSpaceDE/>
        <w:autoSpaceDN/>
        <w:adjustRightInd/>
        <w:spacing w:before="258" w:line="268"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Al recurrente se le notificó al correo elect</w:t>
      </w:r>
      <w:r>
        <w:rPr>
          <w:rFonts w:ascii="Verdana" w:hAnsi="Verdana" w:cs="Verdana"/>
          <w:sz w:val="22"/>
          <w:szCs w:val="22"/>
          <w:lang w:val="es-ES" w:eastAsia="es-ES"/>
        </w:rPr>
        <w:t>rónico</w:t>
      </w:r>
      <w:r>
        <w:rPr>
          <w:rFonts w:ascii="Verdana" w:hAnsi="Verdana" w:cs="Verdana"/>
          <w:sz w:val="22"/>
          <w:szCs w:val="22"/>
          <w:lang w:val="es-ES" w:eastAsia="es-ES"/>
        </w:rPr>
        <w:t xml:space="preserve"> </w:t>
      </w:r>
      <w:hyperlink r:id="rId5" w:history="1">
        <w:r w:rsidR="00D96CFB" w:rsidRPr="00D96CFB">
          <w:rPr>
            <w:rStyle w:val="Hipervnculo"/>
            <w:rFonts w:ascii="Verdana" w:hAnsi="Verdana" w:cs="Verdana"/>
            <w:color w:val="auto"/>
            <w:sz w:val="22"/>
            <w:szCs w:val="22"/>
            <w:lang w:val="es-ES" w:eastAsia="es-ES"/>
          </w:rPr>
          <w:t>XXXXXXX@hotmail.com</w:t>
        </w:r>
      </w:hyperlink>
      <w:r>
        <w:rPr>
          <w:rFonts w:ascii="Verdana" w:hAnsi="Verdana" w:cs="Verdana"/>
          <w:sz w:val="22"/>
          <w:szCs w:val="22"/>
          <w:u w:val="single"/>
          <w:lang w:val="es-ES" w:eastAsia="es-ES"/>
        </w:rPr>
        <w:t>.,</w:t>
      </w:r>
      <w:r>
        <w:rPr>
          <w:rFonts w:ascii="Verdana" w:hAnsi="Verdana" w:cs="Verdana"/>
          <w:sz w:val="22"/>
          <w:szCs w:val="22"/>
          <w:lang w:val="es-ES" w:eastAsia="es-ES"/>
        </w:rPr>
        <w:t xml:space="preserve"> el 17 de noviembre de 2015 la cita para presentarse a formalizar el contrato de concesión, p</w:t>
      </w:r>
      <w:r>
        <w:rPr>
          <w:rFonts w:ascii="Verdana" w:hAnsi="Verdana" w:cs="Verdana"/>
          <w:sz w:val="22"/>
          <w:szCs w:val="22"/>
          <w:lang w:val="es-ES" w:eastAsia="es-ES"/>
        </w:rPr>
        <w:t>ara el 25 de noviembre de 2015 a las catorce y treinta horas, misma a la que no asistió el recurrente. (Léase folio 89 del expediente administrativo)</w:t>
      </w:r>
    </w:p>
    <w:p w:rsidR="00000000" w:rsidRDefault="002B22AB">
      <w:pPr>
        <w:kinsoku w:val="0"/>
        <w:overflowPunct w:val="0"/>
        <w:autoSpaceDE/>
        <w:autoSpaceDN/>
        <w:adjustRightInd/>
        <w:spacing w:before="276" w:line="268"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procedimientos seguidos se han observado las prescripciones legales.</w:t>
      </w:r>
    </w:p>
    <w:p w:rsidR="00000000" w:rsidRDefault="002B22AB">
      <w:pPr>
        <w:kinsoku w:val="0"/>
        <w:overflowPunct w:val="0"/>
        <w:autoSpaceDE/>
        <w:autoSpaceDN/>
        <w:adjustRightInd/>
        <w:spacing w:before="526" w:line="266" w:lineRule="exact"/>
        <w:ind w:left="144"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Redacta la Jueza Pérez</w:t>
      </w:r>
      <w:r>
        <w:rPr>
          <w:rFonts w:ascii="Verdana" w:hAnsi="Verdana" w:cs="Verdana"/>
          <w:b/>
          <w:bCs/>
          <w:spacing w:val="-1"/>
          <w:sz w:val="22"/>
          <w:szCs w:val="22"/>
          <w:lang w:val="es-ES" w:eastAsia="es-ES"/>
        </w:rPr>
        <w:t xml:space="preserve"> Peláez; y,</w:t>
      </w:r>
    </w:p>
    <w:p w:rsidR="00000000" w:rsidRDefault="002B22AB">
      <w:pPr>
        <w:kinsoku w:val="0"/>
        <w:overflowPunct w:val="0"/>
        <w:autoSpaceDE/>
        <w:autoSpaceDN/>
        <w:adjustRightInd/>
        <w:spacing w:before="526" w:line="266"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2B22AB">
      <w:pPr>
        <w:numPr>
          <w:ilvl w:val="0"/>
          <w:numId w:val="1"/>
        </w:numPr>
        <w:kinsoku w:val="0"/>
        <w:overflowPunct w:val="0"/>
        <w:autoSpaceDE/>
        <w:autoSpaceDN/>
        <w:adjustRightInd/>
        <w:spacing w:before="521" w:line="268"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w:t>
      </w:r>
      <w:r>
        <w:rPr>
          <w:rFonts w:ascii="Verdana" w:hAnsi="Verdana" w:cs="Verdana"/>
          <w:sz w:val="22"/>
          <w:szCs w:val="22"/>
          <w:lang w:val="es-ES" w:eastAsia="es-ES"/>
        </w:rPr>
        <w:t>blico de Transporte Remunerado de Personas en Vehículos en la Modalidad de Taxi, N. 7969 del 22 de diciembre de 1999.</w:t>
      </w:r>
    </w:p>
    <w:p w:rsidR="00000000" w:rsidRDefault="002B22AB">
      <w:pPr>
        <w:numPr>
          <w:ilvl w:val="0"/>
          <w:numId w:val="1"/>
        </w:numPr>
        <w:kinsoku w:val="0"/>
        <w:overflowPunct w:val="0"/>
        <w:autoSpaceDE/>
        <w:autoSpaceDN/>
        <w:adjustRightInd/>
        <w:spacing w:before="294" w:line="268" w:lineRule="exact"/>
        <w:ind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SOBRE LA ADMISIBILIDAD DEL RECURSO: </w:t>
      </w:r>
      <w:r>
        <w:rPr>
          <w:rFonts w:ascii="Verdana" w:hAnsi="Verdana" w:cs="Verdana"/>
          <w:b/>
          <w:bCs/>
          <w:spacing w:val="-3"/>
          <w:sz w:val="22"/>
          <w:szCs w:val="22"/>
          <w:u w:val="single"/>
          <w:lang w:val="es-ES" w:eastAsia="es-ES"/>
        </w:rPr>
        <w:t>Legitimación:</w:t>
      </w:r>
      <w:r>
        <w:rPr>
          <w:rFonts w:ascii="Verdana" w:hAnsi="Verdana" w:cs="Verdana"/>
          <w:b/>
          <w:bCs/>
          <w:spacing w:val="-3"/>
          <w:sz w:val="22"/>
          <w:szCs w:val="22"/>
          <w:lang w:val="es-ES" w:eastAsia="es-ES"/>
        </w:rPr>
        <w:t xml:space="preserve"> A </w:t>
      </w:r>
      <w:r>
        <w:rPr>
          <w:rFonts w:ascii="Verdana" w:hAnsi="Verdana" w:cs="Verdana"/>
          <w:b/>
          <w:bCs/>
          <w:spacing w:val="-3"/>
          <w:sz w:val="19"/>
          <w:szCs w:val="19"/>
          <w:lang w:val="es-ES" w:eastAsia="es-ES"/>
        </w:rPr>
        <w:t>C</w:t>
      </w:r>
      <w:r w:rsidR="00D96CFB">
        <w:rPr>
          <w:rFonts w:ascii="Verdana" w:hAnsi="Verdana" w:cs="Verdana"/>
          <w:b/>
          <w:bCs/>
          <w:spacing w:val="-3"/>
          <w:sz w:val="19"/>
          <w:szCs w:val="19"/>
          <w:lang w:val="es-ES" w:eastAsia="es-ES"/>
        </w:rPr>
        <w:t>.J.H.</w:t>
      </w:r>
      <w:r>
        <w:rPr>
          <w:rFonts w:ascii="Verdana" w:hAnsi="Verdana" w:cs="Verdana"/>
          <w:b/>
          <w:bCs/>
          <w:spacing w:val="-3"/>
          <w:sz w:val="19"/>
          <w:szCs w:val="19"/>
          <w:lang w:val="es-ES" w:eastAsia="es-ES"/>
        </w:rPr>
        <w:t xml:space="preserve">, </w:t>
      </w:r>
      <w:r>
        <w:rPr>
          <w:rFonts w:ascii="Verdana" w:hAnsi="Verdana" w:cs="Verdana"/>
          <w:b/>
          <w:bCs/>
          <w:spacing w:val="-3"/>
          <w:sz w:val="22"/>
          <w:szCs w:val="22"/>
          <w:lang w:val="es-ES" w:eastAsia="es-ES"/>
        </w:rPr>
        <w:t xml:space="preserve">cédula de identidad número </w:t>
      </w:r>
      <w:r w:rsidR="00D96CFB">
        <w:rPr>
          <w:rFonts w:ascii="Verdana" w:hAnsi="Verdana" w:cs="Verdana"/>
          <w:b/>
          <w:bCs/>
          <w:spacing w:val="-3"/>
          <w:sz w:val="22"/>
          <w:szCs w:val="22"/>
          <w:lang w:val="es-ES" w:eastAsia="es-ES"/>
        </w:rPr>
        <w:t>…</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le caducaron con el </w:t>
      </w:r>
      <w:r>
        <w:rPr>
          <w:rFonts w:ascii="Verdana" w:hAnsi="Verdana" w:cs="Verdana"/>
          <w:spacing w:val="-3"/>
          <w:sz w:val="22"/>
          <w:szCs w:val="22"/>
          <w:lang w:val="es-ES" w:eastAsia="es-ES"/>
        </w:rPr>
        <w:t xml:space="preserve">acuerdo impugnado, la concesión de taxi </w:t>
      </w:r>
      <w:r>
        <w:rPr>
          <w:rFonts w:ascii="Verdana" w:hAnsi="Verdana" w:cs="Verdana"/>
          <w:b/>
          <w:bCs/>
          <w:i/>
          <w:iCs/>
          <w:spacing w:val="-3"/>
          <w:sz w:val="22"/>
          <w:szCs w:val="22"/>
          <w:lang w:val="es-ES" w:eastAsia="es-ES"/>
        </w:rPr>
        <w:t>TH-</w:t>
      </w:r>
      <w:r w:rsidR="00D96CFB">
        <w:rPr>
          <w:rFonts w:ascii="Verdana" w:hAnsi="Verdana" w:cs="Verdana"/>
          <w:b/>
          <w:bCs/>
          <w:i/>
          <w:iCs/>
          <w:spacing w:val="-3"/>
          <w:sz w:val="22"/>
          <w:szCs w:val="22"/>
          <w:lang w:val="es-ES" w:eastAsia="es-ES"/>
        </w:rPr>
        <w:t>XXX</w:t>
      </w:r>
      <w:r>
        <w:rPr>
          <w:rFonts w:ascii="Verdana" w:hAnsi="Verdana" w:cs="Verdana"/>
          <w:b/>
          <w:bCs/>
          <w:i/>
          <w:iCs/>
          <w:spacing w:val="-3"/>
          <w:sz w:val="22"/>
          <w:szCs w:val="22"/>
          <w:lang w:val="es-ES" w:eastAsia="es-ES"/>
        </w:rPr>
        <w:t xml:space="preserve">, </w:t>
      </w:r>
      <w:r>
        <w:rPr>
          <w:rFonts w:ascii="Verdana" w:hAnsi="Verdana" w:cs="Verdana"/>
          <w:spacing w:val="-3"/>
          <w:sz w:val="22"/>
          <w:szCs w:val="22"/>
          <w:lang w:val="es-ES" w:eastAsia="es-ES"/>
        </w:rPr>
        <w:t xml:space="preserve">por lo que cuenta con la legitimación necesaria para actuar en el presente asunto. </w:t>
      </w:r>
      <w:r>
        <w:rPr>
          <w:rFonts w:ascii="Verdana" w:hAnsi="Verdana" w:cs="Verdana"/>
          <w:b/>
          <w:bCs/>
          <w:spacing w:val="-3"/>
          <w:sz w:val="22"/>
          <w:szCs w:val="22"/>
          <w:u w:val="single"/>
          <w:lang w:val="es-ES" w:eastAsia="es-ES"/>
        </w:rPr>
        <w:t xml:space="preserve">En cuanto al plazo:  </w:t>
      </w:r>
      <w:r>
        <w:rPr>
          <w:rFonts w:ascii="Verdana" w:hAnsi="Verdana" w:cs="Verdana"/>
          <w:spacing w:val="-3"/>
          <w:sz w:val="22"/>
          <w:szCs w:val="22"/>
          <w:lang w:val="es-ES" w:eastAsia="es-ES"/>
        </w:rPr>
        <w:t>El Recurso de Apelación fue presentado dentro del plazo legal de cinco días establecido en el artículo 1</w:t>
      </w:r>
      <w:r>
        <w:rPr>
          <w:rFonts w:ascii="Verdana" w:hAnsi="Verdana" w:cs="Verdana"/>
          <w:spacing w:val="-3"/>
          <w:sz w:val="22"/>
          <w:szCs w:val="22"/>
          <w:lang w:val="es-ES" w:eastAsia="es-ES"/>
        </w:rPr>
        <w:t>1 de la Ley N. 7969, ya que el acuerdo fue notificado el día 22 de agosto de 2016, ver folio 29 del expediente, y el recurso se presentó el 29 del mismo mes y año.</w:t>
      </w:r>
    </w:p>
    <w:p w:rsidR="00000000" w:rsidRDefault="002B22AB">
      <w:pPr>
        <w:numPr>
          <w:ilvl w:val="0"/>
          <w:numId w:val="1"/>
        </w:numPr>
        <w:kinsoku w:val="0"/>
        <w:overflowPunct w:val="0"/>
        <w:autoSpaceDE/>
        <w:autoSpaceDN/>
        <w:adjustRightInd/>
        <w:spacing w:before="265" w:after="872" w:line="266" w:lineRule="exact"/>
        <w:ind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HECHOS PROBADOS DE IMPORTANCIA PARA ESTE ASUNTO:</w:t>
      </w:r>
    </w:p>
    <w:p w:rsidR="00000000" w:rsidRDefault="002B22AB">
      <w:pPr>
        <w:widowControl/>
        <w:rPr>
          <w:sz w:val="24"/>
          <w:szCs w:val="24"/>
        </w:rPr>
        <w:sectPr w:rsidR="00000000">
          <w:pgSz w:w="12250" w:h="15782"/>
          <w:pgMar w:top="1320" w:right="1564" w:bottom="326" w:left="1626" w:header="720" w:footer="720" w:gutter="0"/>
          <w:cols w:space="720"/>
          <w:noEndnote/>
        </w:sectPr>
      </w:pPr>
    </w:p>
    <w:p w:rsidR="00000000" w:rsidRDefault="002B22AB">
      <w:pPr>
        <w:widowControl/>
        <w:rPr>
          <w:sz w:val="24"/>
          <w:szCs w:val="24"/>
        </w:rPr>
        <w:sectPr w:rsidR="00000000">
          <w:type w:val="continuous"/>
          <w:pgSz w:w="12250" w:h="15782"/>
          <w:pgMar w:top="1320" w:right="1634" w:bottom="326" w:left="7536" w:header="720" w:footer="720" w:gutter="0"/>
          <w:cols w:space="720"/>
          <w:noEndnote/>
        </w:sectPr>
      </w:pPr>
    </w:p>
    <w:p w:rsidR="00000000" w:rsidRDefault="002B22AB">
      <w:pPr>
        <w:numPr>
          <w:ilvl w:val="0"/>
          <w:numId w:val="2"/>
        </w:numPr>
        <w:kinsoku w:val="0"/>
        <w:overflowPunct w:val="0"/>
        <w:autoSpaceDE/>
        <w:autoSpaceDN/>
        <w:adjustRightInd/>
        <w:spacing w:before="11" w:line="269" w:lineRule="exact"/>
        <w:ind w:right="72"/>
        <w:jc w:val="both"/>
        <w:textAlignment w:val="baseline"/>
        <w:rPr>
          <w:rFonts w:ascii="Tahoma" w:hAnsi="Tahoma" w:cs="Tahoma"/>
          <w:spacing w:val="14"/>
          <w:sz w:val="22"/>
          <w:szCs w:val="22"/>
          <w:lang w:val="es-ES" w:eastAsia="es-ES"/>
        </w:rPr>
      </w:pPr>
      <w:r>
        <w:rPr>
          <w:rFonts w:ascii="Tahoma" w:hAnsi="Tahoma" w:cs="Tahoma"/>
          <w:spacing w:val="14"/>
          <w:sz w:val="22"/>
          <w:szCs w:val="22"/>
          <w:lang w:val="es-ES" w:eastAsia="es-ES"/>
        </w:rPr>
        <w:lastRenderedPageBreak/>
        <w:t xml:space="preserve">- La JUNTA DIRECTIVA DEL CONSEJO DE TRANSPORTE PÚBLICO, mediante </w:t>
      </w:r>
      <w:r>
        <w:rPr>
          <w:rFonts w:ascii="Tahoma" w:hAnsi="Tahoma" w:cs="Tahoma"/>
          <w:b/>
          <w:bCs/>
          <w:spacing w:val="14"/>
          <w:sz w:val="22"/>
          <w:szCs w:val="22"/>
          <w:lang w:val="es-ES" w:eastAsia="es-ES"/>
        </w:rPr>
        <w:t xml:space="preserve">artículo 7.2 de la Sesión Ordinaria 40-2016 de 18 de agosto de 2016, </w:t>
      </w:r>
      <w:r>
        <w:rPr>
          <w:rFonts w:ascii="Tahoma" w:hAnsi="Tahoma" w:cs="Tahoma"/>
          <w:spacing w:val="14"/>
          <w:sz w:val="22"/>
          <w:szCs w:val="22"/>
          <w:lang w:val="es-ES" w:eastAsia="es-ES"/>
        </w:rPr>
        <w:t xml:space="preserve">acuerda cancelar la concesión </w:t>
      </w:r>
      <w:r>
        <w:rPr>
          <w:rFonts w:ascii="Tahoma" w:hAnsi="Tahoma" w:cs="Tahoma"/>
          <w:b/>
          <w:bCs/>
          <w:spacing w:val="14"/>
          <w:sz w:val="22"/>
          <w:szCs w:val="22"/>
          <w:lang w:val="es-ES" w:eastAsia="es-ES"/>
        </w:rPr>
        <w:t>TH-</w:t>
      </w:r>
      <w:r w:rsidR="00D96CFB">
        <w:rPr>
          <w:rFonts w:ascii="Tahoma" w:hAnsi="Tahoma" w:cs="Tahoma"/>
          <w:b/>
          <w:bCs/>
          <w:spacing w:val="14"/>
          <w:sz w:val="22"/>
          <w:szCs w:val="22"/>
          <w:lang w:val="es-ES" w:eastAsia="es-ES"/>
        </w:rPr>
        <w:t>XXX</w:t>
      </w:r>
      <w:r>
        <w:rPr>
          <w:rFonts w:ascii="Tahoma" w:hAnsi="Tahoma" w:cs="Tahoma"/>
          <w:b/>
          <w:bCs/>
          <w:spacing w:val="14"/>
          <w:sz w:val="22"/>
          <w:szCs w:val="22"/>
          <w:lang w:val="es-ES" w:eastAsia="es-ES"/>
        </w:rPr>
        <w:t xml:space="preserve">, </w:t>
      </w:r>
      <w:r>
        <w:rPr>
          <w:rFonts w:ascii="Tahoma" w:hAnsi="Tahoma" w:cs="Tahoma"/>
          <w:spacing w:val="14"/>
          <w:sz w:val="22"/>
          <w:szCs w:val="22"/>
          <w:lang w:val="es-ES" w:eastAsia="es-ES"/>
        </w:rPr>
        <w:t>por vencimiento del plazo y no gestionar la renovació</w:t>
      </w:r>
      <w:r>
        <w:rPr>
          <w:rFonts w:ascii="Tahoma" w:hAnsi="Tahoma" w:cs="Tahoma"/>
          <w:spacing w:val="14"/>
          <w:sz w:val="22"/>
          <w:szCs w:val="22"/>
          <w:lang w:val="es-ES" w:eastAsia="es-ES"/>
        </w:rPr>
        <w:t>n de la misma. (Léanse folios del 21 al 28 del expediente administrativo)</w:t>
      </w:r>
    </w:p>
    <w:p w:rsidR="00000000" w:rsidRDefault="002B22AB">
      <w:pPr>
        <w:numPr>
          <w:ilvl w:val="0"/>
          <w:numId w:val="3"/>
        </w:numPr>
        <w:kinsoku w:val="0"/>
        <w:overflowPunct w:val="0"/>
        <w:autoSpaceDE/>
        <w:autoSpaceDN/>
        <w:adjustRightInd/>
        <w:spacing w:before="532" w:line="269" w:lineRule="exact"/>
        <w:ind w:right="72"/>
        <w:jc w:val="both"/>
        <w:textAlignment w:val="baseline"/>
        <w:rPr>
          <w:rFonts w:ascii="Tahoma" w:hAnsi="Tahoma" w:cs="Tahoma"/>
          <w:spacing w:val="14"/>
          <w:sz w:val="22"/>
          <w:szCs w:val="22"/>
          <w:lang w:val="es-ES" w:eastAsia="es-ES"/>
        </w:rPr>
      </w:pPr>
      <w:r>
        <w:rPr>
          <w:rFonts w:ascii="Tahoma" w:hAnsi="Tahoma" w:cs="Tahoma"/>
          <w:b/>
          <w:bCs/>
          <w:spacing w:val="14"/>
          <w:sz w:val="22"/>
          <w:szCs w:val="22"/>
          <w:lang w:val="es-ES" w:eastAsia="es-ES"/>
        </w:rPr>
        <w:t xml:space="preserve">- </w:t>
      </w:r>
      <w:r>
        <w:rPr>
          <w:rFonts w:ascii="Tahoma" w:hAnsi="Tahoma" w:cs="Tahoma"/>
          <w:spacing w:val="14"/>
          <w:sz w:val="22"/>
          <w:szCs w:val="22"/>
          <w:lang w:val="es-ES" w:eastAsia="es-ES"/>
        </w:rPr>
        <w:t>El recurrente presenta Recurso de Apelación contra el acuerdo impugnado por considerar que no fue adoptado conforme en derecho corresponde, y encontrarse po</w:t>
      </w:r>
      <w:r>
        <w:rPr>
          <w:rFonts w:ascii="Tahoma" w:hAnsi="Tahoma" w:cs="Tahoma"/>
          <w:spacing w:val="14"/>
          <w:sz w:val="22"/>
          <w:szCs w:val="22"/>
          <w:lang w:val="es-ES" w:eastAsia="es-ES"/>
        </w:rPr>
        <w:t>r ende viciado de nulidad. (Léanse folios del 14 al 20 del expediente administrativo)</w:t>
      </w:r>
    </w:p>
    <w:p w:rsidR="00000000" w:rsidRDefault="002B22AB">
      <w:pPr>
        <w:numPr>
          <w:ilvl w:val="0"/>
          <w:numId w:val="2"/>
        </w:numPr>
        <w:kinsoku w:val="0"/>
        <w:overflowPunct w:val="0"/>
        <w:autoSpaceDE/>
        <w:autoSpaceDN/>
        <w:adjustRightInd/>
        <w:spacing w:before="268" w:line="269" w:lineRule="exact"/>
        <w:ind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La Junta Directiva del Consejo de Transporte Público, mediante </w:t>
      </w:r>
      <w:r>
        <w:rPr>
          <w:rFonts w:ascii="Tahoma" w:hAnsi="Tahoma" w:cs="Tahoma"/>
          <w:b/>
          <w:bCs/>
          <w:spacing w:val="11"/>
          <w:sz w:val="22"/>
          <w:szCs w:val="22"/>
          <w:lang w:val="es-ES" w:eastAsia="es-ES"/>
        </w:rPr>
        <w:t xml:space="preserve">acuerdo 7.11.9 de la Sesión Ordinaria 58-2016 de 16 de noviembre de 2016, </w:t>
      </w:r>
      <w:r>
        <w:rPr>
          <w:rFonts w:ascii="Tahoma" w:hAnsi="Tahoma" w:cs="Tahoma"/>
          <w:spacing w:val="11"/>
          <w:sz w:val="22"/>
          <w:szCs w:val="22"/>
          <w:lang w:val="es-ES" w:eastAsia="es-ES"/>
        </w:rPr>
        <w:t>conoce y avala el informe d</w:t>
      </w:r>
      <w:r>
        <w:rPr>
          <w:rFonts w:ascii="Tahoma" w:hAnsi="Tahoma" w:cs="Tahoma"/>
          <w:spacing w:val="11"/>
          <w:sz w:val="22"/>
          <w:szCs w:val="22"/>
          <w:lang w:val="es-ES" w:eastAsia="es-ES"/>
        </w:rPr>
        <w:t xml:space="preserve">e la Dirección Asuntos Jurídicos el </w:t>
      </w:r>
      <w:r>
        <w:rPr>
          <w:rFonts w:ascii="Tahoma" w:hAnsi="Tahoma" w:cs="Tahoma"/>
          <w:b/>
          <w:bCs/>
          <w:spacing w:val="11"/>
          <w:sz w:val="22"/>
          <w:szCs w:val="22"/>
          <w:lang w:val="es-ES" w:eastAsia="es-ES"/>
        </w:rPr>
        <w:t xml:space="preserve">DAJ-2016003779 de 4 de noviembre de 2016 y rechaza el Recurso de Revocatoria y la Nulidad invocadas por improcedente. </w:t>
      </w:r>
      <w:r>
        <w:rPr>
          <w:rFonts w:ascii="Tahoma" w:hAnsi="Tahoma" w:cs="Tahoma"/>
          <w:spacing w:val="11"/>
          <w:sz w:val="22"/>
          <w:szCs w:val="22"/>
          <w:lang w:val="es-ES" w:eastAsia="es-ES"/>
        </w:rPr>
        <w:t>(Léanse folios del 1 al 5 del expediente administrativo)</w:t>
      </w:r>
    </w:p>
    <w:p w:rsidR="00000000" w:rsidRDefault="002B22AB">
      <w:pPr>
        <w:numPr>
          <w:ilvl w:val="0"/>
          <w:numId w:val="3"/>
        </w:numPr>
        <w:kinsoku w:val="0"/>
        <w:overflowPunct w:val="0"/>
        <w:autoSpaceDE/>
        <w:autoSpaceDN/>
        <w:adjustRightInd/>
        <w:spacing w:before="258" w:line="269" w:lineRule="exact"/>
        <w:ind w:right="72"/>
        <w:jc w:val="both"/>
        <w:textAlignment w:val="baseline"/>
        <w:rPr>
          <w:rFonts w:ascii="Tahoma" w:hAnsi="Tahoma" w:cs="Tahoma"/>
          <w:spacing w:val="15"/>
          <w:sz w:val="22"/>
          <w:szCs w:val="22"/>
          <w:lang w:val="es-ES" w:eastAsia="es-ES"/>
        </w:rPr>
      </w:pPr>
      <w:r>
        <w:rPr>
          <w:rFonts w:ascii="Tahoma" w:hAnsi="Tahoma" w:cs="Tahoma"/>
          <w:b/>
          <w:bCs/>
          <w:spacing w:val="15"/>
          <w:sz w:val="22"/>
          <w:szCs w:val="22"/>
          <w:lang w:val="es-ES" w:eastAsia="es-ES"/>
        </w:rPr>
        <w:t xml:space="preserve">- </w:t>
      </w:r>
      <w:r>
        <w:rPr>
          <w:rFonts w:ascii="Tahoma" w:hAnsi="Tahoma" w:cs="Tahoma"/>
          <w:spacing w:val="15"/>
          <w:sz w:val="22"/>
          <w:szCs w:val="22"/>
          <w:lang w:val="es-ES" w:eastAsia="es-ES"/>
        </w:rPr>
        <w:t>Ha quedado fehacientemente demostrado</w:t>
      </w:r>
      <w:r>
        <w:rPr>
          <w:rFonts w:ascii="Tahoma" w:hAnsi="Tahoma" w:cs="Tahoma"/>
          <w:spacing w:val="15"/>
          <w:sz w:val="22"/>
          <w:szCs w:val="22"/>
          <w:lang w:val="es-ES" w:eastAsia="es-ES"/>
        </w:rPr>
        <w:t xml:space="preserve"> que al recurrente se le notificó al correo electrónico </w:t>
      </w:r>
      <w:hyperlink r:id="rId6" w:history="1">
        <w:r w:rsidR="00D96CFB" w:rsidRPr="00D96CFB">
          <w:rPr>
            <w:rStyle w:val="Hipervnculo"/>
            <w:rFonts w:ascii="Verdana" w:hAnsi="Verdana" w:cs="Verdana"/>
            <w:color w:val="auto"/>
            <w:spacing w:val="15"/>
            <w:sz w:val="22"/>
            <w:szCs w:val="22"/>
            <w:lang w:val="es-ES" w:eastAsia="es-ES"/>
          </w:rPr>
          <w:t>XXXXXXX@hotmail.com</w:t>
        </w:r>
      </w:hyperlink>
      <w:r>
        <w:rPr>
          <w:rFonts w:ascii="Verdana" w:hAnsi="Verdana" w:cs="Verdana"/>
          <w:spacing w:val="15"/>
          <w:sz w:val="22"/>
          <w:szCs w:val="22"/>
          <w:u w:val="single"/>
          <w:lang w:val="es-ES" w:eastAsia="es-ES"/>
        </w:rPr>
        <w:t>,</w:t>
      </w:r>
      <w:r>
        <w:rPr>
          <w:rFonts w:ascii="Tahoma" w:hAnsi="Tahoma" w:cs="Tahoma"/>
          <w:spacing w:val="15"/>
          <w:sz w:val="22"/>
          <w:szCs w:val="22"/>
          <w:lang w:val="es-ES" w:eastAsia="es-ES"/>
        </w:rPr>
        <w:t xml:space="preserve"> el 17 de noviembre de 2015 la cita para presentarse a formalizar el contrato de concesión, para el 25 de noviembre de 2015 a las catorce y treinta horas, misma a la que no asistió el recurrente. (Léase folio 89 del expediente administrativo)</w:t>
      </w:r>
    </w:p>
    <w:p w:rsidR="00000000" w:rsidRDefault="002B22AB">
      <w:pPr>
        <w:numPr>
          <w:ilvl w:val="0"/>
          <w:numId w:val="4"/>
        </w:numPr>
        <w:kinsoku w:val="0"/>
        <w:overflowPunct w:val="0"/>
        <w:autoSpaceDE/>
        <w:autoSpaceDN/>
        <w:adjustRightInd/>
        <w:spacing w:before="525" w:line="266" w:lineRule="exact"/>
        <w:ind w:right="72"/>
        <w:jc w:val="both"/>
        <w:textAlignment w:val="baseline"/>
        <w:rPr>
          <w:rFonts w:ascii="Tahoma" w:hAnsi="Tahoma" w:cs="Tahoma"/>
          <w:b/>
          <w:bCs/>
          <w:spacing w:val="15"/>
          <w:sz w:val="22"/>
          <w:szCs w:val="22"/>
          <w:lang w:val="es-ES" w:eastAsia="es-ES"/>
        </w:rPr>
      </w:pPr>
      <w:r>
        <w:rPr>
          <w:rFonts w:ascii="Tahoma" w:hAnsi="Tahoma" w:cs="Tahoma"/>
          <w:b/>
          <w:bCs/>
          <w:spacing w:val="15"/>
          <w:sz w:val="22"/>
          <w:szCs w:val="22"/>
          <w:lang w:val="es-ES" w:eastAsia="es-ES"/>
        </w:rPr>
        <w:t xml:space="preserve">HECHOS </w:t>
      </w:r>
      <w:r>
        <w:rPr>
          <w:rFonts w:ascii="Tahoma" w:hAnsi="Tahoma" w:cs="Tahoma"/>
          <w:b/>
          <w:bCs/>
          <w:spacing w:val="15"/>
          <w:sz w:val="22"/>
          <w:szCs w:val="22"/>
          <w:lang w:val="es-ES" w:eastAsia="es-ES"/>
        </w:rPr>
        <w:t>NO PROBADOS</w:t>
      </w:r>
    </w:p>
    <w:p w:rsidR="00D96CFB" w:rsidRDefault="002B22AB">
      <w:pPr>
        <w:kinsoku w:val="0"/>
        <w:overflowPunct w:val="0"/>
        <w:autoSpaceDE/>
        <w:autoSpaceDN/>
        <w:adjustRightInd/>
        <w:spacing w:line="593" w:lineRule="exact"/>
        <w:ind w:left="144" w:right="1944"/>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Ninguno de importancia para la resolución del presente asunto. </w:t>
      </w:r>
    </w:p>
    <w:p w:rsidR="00000000" w:rsidRDefault="002B22AB">
      <w:pPr>
        <w:kinsoku w:val="0"/>
        <w:overflowPunct w:val="0"/>
        <w:autoSpaceDE/>
        <w:autoSpaceDN/>
        <w:adjustRightInd/>
        <w:spacing w:line="593" w:lineRule="exact"/>
        <w:ind w:left="144" w:right="1944"/>
        <w:jc w:val="both"/>
        <w:textAlignment w:val="baseline"/>
        <w:rPr>
          <w:rFonts w:ascii="Tahoma" w:hAnsi="Tahoma" w:cs="Tahoma"/>
          <w:b/>
          <w:bCs/>
          <w:sz w:val="22"/>
          <w:szCs w:val="22"/>
          <w:lang w:val="es-ES" w:eastAsia="es-ES"/>
        </w:rPr>
      </w:pPr>
      <w:r>
        <w:rPr>
          <w:rFonts w:ascii="Tahoma" w:hAnsi="Tahoma" w:cs="Tahoma"/>
          <w:b/>
          <w:bCs/>
          <w:sz w:val="22"/>
          <w:szCs w:val="22"/>
          <w:lang w:val="es-ES" w:eastAsia="es-ES"/>
        </w:rPr>
        <w:t>5.- SOBRE EL FONDO</w:t>
      </w:r>
    </w:p>
    <w:p w:rsidR="00000000" w:rsidRDefault="002B22AB">
      <w:pPr>
        <w:kinsoku w:val="0"/>
        <w:overflowPunct w:val="0"/>
        <w:autoSpaceDE/>
        <w:autoSpaceDN/>
        <w:adjustRightInd/>
        <w:spacing w:before="284" w:line="262" w:lineRule="exact"/>
        <w:ind w:left="144" w:right="72"/>
        <w:jc w:val="both"/>
        <w:textAlignment w:val="baseline"/>
        <w:rPr>
          <w:rFonts w:ascii="Tahoma" w:hAnsi="Tahoma" w:cs="Tahoma"/>
          <w:b/>
          <w:bCs/>
          <w:spacing w:val="13"/>
          <w:sz w:val="22"/>
          <w:szCs w:val="22"/>
          <w:lang w:val="es-ES" w:eastAsia="es-ES"/>
        </w:rPr>
      </w:pPr>
      <w:r>
        <w:rPr>
          <w:rFonts w:ascii="Tahoma" w:hAnsi="Tahoma" w:cs="Tahoma"/>
          <w:b/>
          <w:bCs/>
          <w:spacing w:val="13"/>
          <w:sz w:val="22"/>
          <w:szCs w:val="22"/>
          <w:lang w:val="es-ES" w:eastAsia="es-ES"/>
        </w:rPr>
        <w:t xml:space="preserve">OBJETO DEL PROCEDIMIENTO. </w:t>
      </w:r>
      <w:r>
        <w:rPr>
          <w:rFonts w:ascii="Tahoma" w:hAnsi="Tahoma" w:cs="Tahoma"/>
          <w:spacing w:val="13"/>
          <w:sz w:val="22"/>
          <w:szCs w:val="22"/>
          <w:lang w:val="es-ES" w:eastAsia="es-ES"/>
        </w:rPr>
        <w:t xml:space="preserve">Determinar si existe ilegalidad del </w:t>
      </w:r>
      <w:r>
        <w:rPr>
          <w:rFonts w:ascii="Tahoma" w:hAnsi="Tahoma" w:cs="Tahoma"/>
          <w:b/>
          <w:bCs/>
          <w:spacing w:val="13"/>
          <w:sz w:val="22"/>
          <w:szCs w:val="22"/>
          <w:lang w:val="es-ES" w:eastAsia="es-ES"/>
        </w:rPr>
        <w:t xml:space="preserve">artículo 7.2 de la Sesión Ordinaria 40-2016 de 18 de agosto de 2016, </w:t>
      </w:r>
      <w:r>
        <w:rPr>
          <w:rFonts w:ascii="Tahoma" w:hAnsi="Tahoma" w:cs="Tahoma"/>
          <w:spacing w:val="13"/>
          <w:sz w:val="22"/>
          <w:szCs w:val="22"/>
          <w:lang w:val="es-ES" w:eastAsia="es-ES"/>
        </w:rPr>
        <w:t>del Consejo de Transporte Públi</w:t>
      </w:r>
      <w:r>
        <w:rPr>
          <w:rFonts w:ascii="Tahoma" w:hAnsi="Tahoma" w:cs="Tahoma"/>
          <w:spacing w:val="13"/>
          <w:sz w:val="22"/>
          <w:szCs w:val="22"/>
          <w:lang w:val="es-ES" w:eastAsia="es-ES"/>
        </w:rPr>
        <w:t xml:space="preserve">co y de ser así, el consecuente restablecimiento de la concesión de taxi otorgada al señor </w:t>
      </w:r>
      <w:r>
        <w:rPr>
          <w:rFonts w:ascii="Tahoma" w:hAnsi="Tahoma" w:cs="Tahoma"/>
          <w:b/>
          <w:bCs/>
          <w:spacing w:val="13"/>
          <w:sz w:val="19"/>
          <w:szCs w:val="19"/>
          <w:lang w:val="es-ES" w:eastAsia="es-ES"/>
        </w:rPr>
        <w:t>C</w:t>
      </w:r>
      <w:r w:rsidR="00D96CFB">
        <w:rPr>
          <w:rFonts w:ascii="Tahoma" w:hAnsi="Tahoma" w:cs="Tahoma"/>
          <w:b/>
          <w:bCs/>
          <w:spacing w:val="13"/>
          <w:sz w:val="19"/>
          <w:szCs w:val="19"/>
          <w:lang w:val="es-ES" w:eastAsia="es-ES"/>
        </w:rPr>
        <w:t>.J.H.</w:t>
      </w:r>
      <w:r>
        <w:rPr>
          <w:rFonts w:ascii="Tahoma" w:hAnsi="Tahoma" w:cs="Tahoma"/>
          <w:b/>
          <w:bCs/>
          <w:spacing w:val="13"/>
          <w:sz w:val="19"/>
          <w:szCs w:val="19"/>
          <w:lang w:val="es-ES" w:eastAsia="es-ES"/>
        </w:rPr>
        <w:t xml:space="preserve">, </w:t>
      </w:r>
      <w:r>
        <w:rPr>
          <w:rFonts w:ascii="Tahoma" w:hAnsi="Tahoma" w:cs="Tahoma"/>
          <w:b/>
          <w:bCs/>
          <w:spacing w:val="13"/>
          <w:sz w:val="22"/>
          <w:szCs w:val="22"/>
          <w:lang w:val="es-ES" w:eastAsia="es-ES"/>
        </w:rPr>
        <w:t xml:space="preserve">cédula de identidad número </w:t>
      </w:r>
      <w:r w:rsidR="00D96CFB">
        <w:rPr>
          <w:rFonts w:ascii="Tahoma" w:hAnsi="Tahoma" w:cs="Tahoma"/>
          <w:b/>
          <w:bCs/>
          <w:spacing w:val="13"/>
          <w:sz w:val="22"/>
          <w:szCs w:val="22"/>
          <w:lang w:val="es-ES" w:eastAsia="es-ES"/>
        </w:rPr>
        <w:t>..</w:t>
      </w:r>
      <w:r>
        <w:rPr>
          <w:rFonts w:ascii="Tahoma" w:hAnsi="Tahoma" w:cs="Tahoma"/>
          <w:b/>
          <w:bCs/>
          <w:spacing w:val="13"/>
          <w:sz w:val="22"/>
          <w:szCs w:val="22"/>
          <w:lang w:val="es-ES" w:eastAsia="es-ES"/>
        </w:rPr>
        <w:t>.</w:t>
      </w:r>
    </w:p>
    <w:p w:rsidR="00000000" w:rsidRDefault="002B22AB">
      <w:pPr>
        <w:kinsoku w:val="0"/>
        <w:overflowPunct w:val="0"/>
        <w:autoSpaceDE/>
        <w:autoSpaceDN/>
        <w:adjustRightInd/>
        <w:spacing w:before="266" w:line="266" w:lineRule="exact"/>
        <w:ind w:left="144" w:right="72"/>
        <w:textAlignment w:val="baseline"/>
        <w:rPr>
          <w:rFonts w:ascii="Tahoma" w:hAnsi="Tahoma" w:cs="Tahoma"/>
          <w:b/>
          <w:bCs/>
          <w:spacing w:val="14"/>
          <w:sz w:val="22"/>
          <w:szCs w:val="22"/>
          <w:lang w:val="es-ES" w:eastAsia="es-ES"/>
        </w:rPr>
      </w:pPr>
      <w:r>
        <w:rPr>
          <w:rFonts w:ascii="Tahoma" w:hAnsi="Tahoma" w:cs="Tahoma"/>
          <w:b/>
          <w:bCs/>
          <w:spacing w:val="14"/>
          <w:sz w:val="22"/>
          <w:szCs w:val="22"/>
          <w:lang w:val="es-ES" w:eastAsia="es-ES"/>
        </w:rPr>
        <w:t>DE LO ACTUADO POR EL CONSEJO DE TRANSPORTE PÚBLICO</w:t>
      </w:r>
    </w:p>
    <w:p w:rsidR="00000000" w:rsidRDefault="002B22AB">
      <w:pPr>
        <w:kinsoku w:val="0"/>
        <w:overflowPunct w:val="0"/>
        <w:autoSpaceDE/>
        <w:autoSpaceDN/>
        <w:adjustRightInd/>
        <w:spacing w:before="312" w:line="265" w:lineRule="exact"/>
        <w:ind w:left="144" w:right="72"/>
        <w:jc w:val="both"/>
        <w:textAlignment w:val="baseline"/>
        <w:rPr>
          <w:rFonts w:ascii="Tahoma" w:hAnsi="Tahoma" w:cs="Tahoma"/>
          <w:i/>
          <w:iCs/>
          <w:spacing w:val="8"/>
          <w:sz w:val="22"/>
          <w:szCs w:val="22"/>
          <w:lang w:val="es-ES" w:eastAsia="es-ES"/>
        </w:rPr>
      </w:pPr>
      <w:r>
        <w:rPr>
          <w:rFonts w:ascii="Tahoma" w:hAnsi="Tahoma" w:cs="Tahoma"/>
          <w:spacing w:val="8"/>
          <w:sz w:val="22"/>
          <w:szCs w:val="22"/>
          <w:lang w:val="es-ES" w:eastAsia="es-ES"/>
        </w:rPr>
        <w:t>La JUNTA DIRECTIVA DEL CONSEJO DE TRANSPORTE PÚ</w:t>
      </w:r>
      <w:r>
        <w:rPr>
          <w:rFonts w:ascii="Tahoma" w:hAnsi="Tahoma" w:cs="Tahoma"/>
          <w:spacing w:val="8"/>
          <w:sz w:val="22"/>
          <w:szCs w:val="22"/>
          <w:lang w:val="es-ES" w:eastAsia="es-ES"/>
        </w:rPr>
        <w:t xml:space="preserve">BLICO, mediante </w:t>
      </w:r>
      <w:r>
        <w:rPr>
          <w:rFonts w:ascii="Tahoma" w:hAnsi="Tahoma" w:cs="Tahoma"/>
          <w:b/>
          <w:bCs/>
          <w:spacing w:val="8"/>
          <w:sz w:val="22"/>
          <w:szCs w:val="22"/>
          <w:lang w:val="es-ES" w:eastAsia="es-ES"/>
        </w:rPr>
        <w:t xml:space="preserve">artículo 7.2 de la Sesión Ordinaria 40-2016 de 18 de agosto de 2016, </w:t>
      </w:r>
      <w:r>
        <w:rPr>
          <w:rFonts w:ascii="Tahoma" w:hAnsi="Tahoma" w:cs="Tahoma"/>
          <w:spacing w:val="8"/>
          <w:sz w:val="22"/>
          <w:szCs w:val="22"/>
          <w:lang w:val="es-ES" w:eastAsia="es-ES"/>
        </w:rPr>
        <w:t xml:space="preserve">acuerda </w:t>
      </w:r>
      <w:r>
        <w:rPr>
          <w:rFonts w:ascii="Tahoma" w:hAnsi="Tahoma" w:cs="Tahoma"/>
          <w:i/>
          <w:iCs/>
          <w:spacing w:val="8"/>
          <w:sz w:val="22"/>
          <w:szCs w:val="22"/>
          <w:lang w:val="es-ES" w:eastAsia="es-ES"/>
        </w:rPr>
        <w:t xml:space="preserve">"1. Aprobar, basados en los fundamentos, motivos y contenidos, desarrollados en los considerandos del oficio (sic) </w:t>
      </w:r>
      <w:r>
        <w:rPr>
          <w:rFonts w:ascii="Verdana" w:hAnsi="Verdana" w:cs="Verdana"/>
          <w:b/>
          <w:bCs/>
          <w:i/>
          <w:iCs/>
          <w:spacing w:val="8"/>
          <w:sz w:val="22"/>
          <w:szCs w:val="22"/>
          <w:lang w:val="es-ES" w:eastAsia="es-ES"/>
        </w:rPr>
        <w:t xml:space="preserve">DAJ 2016-002898 </w:t>
      </w:r>
      <w:r>
        <w:rPr>
          <w:rFonts w:ascii="Tahoma" w:hAnsi="Tahoma" w:cs="Tahoma"/>
          <w:b/>
          <w:bCs/>
          <w:spacing w:val="8"/>
          <w:sz w:val="22"/>
          <w:szCs w:val="22"/>
          <w:lang w:val="es-ES" w:eastAsia="es-ES"/>
        </w:rPr>
        <w:t xml:space="preserve">y </w:t>
      </w:r>
      <w:r>
        <w:rPr>
          <w:rFonts w:ascii="Verdana" w:hAnsi="Verdana" w:cs="Verdana"/>
          <w:b/>
          <w:bCs/>
          <w:i/>
          <w:iCs/>
          <w:spacing w:val="8"/>
          <w:sz w:val="22"/>
          <w:szCs w:val="22"/>
          <w:lang w:val="es-ES" w:eastAsia="es-ES"/>
        </w:rPr>
        <w:t xml:space="preserve">DE 2016-2135, </w:t>
      </w:r>
      <w:r>
        <w:rPr>
          <w:rFonts w:ascii="Tahoma" w:hAnsi="Tahoma" w:cs="Tahoma"/>
          <w:i/>
          <w:iCs/>
          <w:spacing w:val="8"/>
          <w:sz w:val="22"/>
          <w:szCs w:val="22"/>
          <w:lang w:val="es-ES" w:eastAsia="es-ES"/>
        </w:rPr>
        <w:t>todas las recome</w:t>
      </w:r>
      <w:r>
        <w:rPr>
          <w:rFonts w:ascii="Tahoma" w:hAnsi="Tahoma" w:cs="Tahoma"/>
          <w:i/>
          <w:iCs/>
          <w:spacing w:val="8"/>
          <w:sz w:val="22"/>
          <w:szCs w:val="22"/>
          <w:lang w:val="es-ES" w:eastAsia="es-ES"/>
        </w:rPr>
        <w:t>ndaciones emitidas en el mismo, el cual forma parte integral de este acuerdo. 2. Cancelar de manera automática la concesión de taxi a las siguientes personas, por vencimiento del plazo y no haber gestionado la renovación antes</w:t>
      </w:r>
    </w:p>
    <w:p w:rsidR="00000000" w:rsidRDefault="00D96CFB">
      <w:pPr>
        <w:tabs>
          <w:tab w:val="right" w:leader="dot" w:pos="9000"/>
        </w:tabs>
        <w:kinsoku w:val="0"/>
        <w:overflowPunct w:val="0"/>
        <w:autoSpaceDE/>
        <w:autoSpaceDN/>
        <w:adjustRightInd/>
        <w:spacing w:after="504" w:line="263" w:lineRule="exact"/>
        <w:ind w:left="144" w:right="72"/>
        <w:jc w:val="both"/>
        <w:textAlignment w:val="baseline"/>
        <w:rPr>
          <w:rFonts w:ascii="Tahoma" w:hAnsi="Tahoma" w:cs="Tahoma"/>
          <w:i/>
          <w:iCs/>
          <w:sz w:val="22"/>
          <w:szCs w:val="22"/>
          <w:lang w:val="es-ES" w:eastAsia="es-ES"/>
        </w:rPr>
      </w:pPr>
      <w:r>
        <w:rPr>
          <w:rFonts w:ascii="Tahoma" w:hAnsi="Tahoma" w:cs="Tahoma"/>
          <w:i/>
          <w:iCs/>
          <w:sz w:val="22"/>
          <w:szCs w:val="22"/>
          <w:lang w:val="es-ES" w:eastAsia="es-ES"/>
        </w:rPr>
        <w:t>de vencer la concesión:……</w:t>
      </w:r>
      <w:r w:rsidR="002B22AB">
        <w:rPr>
          <w:rFonts w:ascii="Tahoma" w:hAnsi="Tahoma" w:cs="Tahoma"/>
          <w:i/>
          <w:iCs/>
          <w:sz w:val="22"/>
          <w:szCs w:val="22"/>
          <w:lang w:val="es-ES" w:eastAsia="es-ES"/>
        </w:rPr>
        <w:t xml:space="preserve"> C</w:t>
      </w:r>
      <w:r>
        <w:rPr>
          <w:rFonts w:ascii="Tahoma" w:hAnsi="Tahoma" w:cs="Tahoma"/>
          <w:i/>
          <w:iCs/>
          <w:sz w:val="22"/>
          <w:szCs w:val="22"/>
          <w:lang w:val="es-ES" w:eastAsia="es-ES"/>
        </w:rPr>
        <w:t>.G.J.H.</w:t>
      </w:r>
      <w:r w:rsidR="002B22AB">
        <w:rPr>
          <w:rFonts w:ascii="Tahoma" w:hAnsi="Tahoma" w:cs="Tahoma"/>
          <w:i/>
          <w:iCs/>
          <w:sz w:val="22"/>
          <w:szCs w:val="22"/>
          <w:lang w:val="es-ES" w:eastAsia="es-ES"/>
        </w:rPr>
        <w:t>... 3. Tener</w:t>
      </w:r>
    </w:p>
    <w:p w:rsidR="00000000" w:rsidRDefault="002B22AB">
      <w:pPr>
        <w:widowControl/>
        <w:rPr>
          <w:sz w:val="24"/>
          <w:szCs w:val="24"/>
        </w:rPr>
        <w:sectPr w:rsidR="00000000">
          <w:pgSz w:w="12254" w:h="15821"/>
          <w:pgMar w:top="1500" w:right="1525" w:bottom="240" w:left="1669" w:header="720" w:footer="720" w:gutter="0"/>
          <w:cols w:space="720"/>
          <w:noEndnote/>
        </w:sectPr>
      </w:pPr>
    </w:p>
    <w:p w:rsidR="00000000" w:rsidRDefault="002B22AB">
      <w:pPr>
        <w:widowControl/>
        <w:rPr>
          <w:sz w:val="24"/>
          <w:szCs w:val="24"/>
        </w:rPr>
        <w:sectPr w:rsidR="00000000">
          <w:type w:val="continuous"/>
          <w:pgSz w:w="12254" w:h="15821"/>
          <w:pgMar w:top="1500" w:right="1630" w:bottom="240" w:left="7544" w:header="720" w:footer="720" w:gutter="0"/>
          <w:cols w:space="720"/>
          <w:noEndnote/>
        </w:sectPr>
      </w:pPr>
    </w:p>
    <w:p w:rsidR="00000000" w:rsidRDefault="002B22AB">
      <w:pPr>
        <w:kinsoku w:val="0"/>
        <w:overflowPunct w:val="0"/>
        <w:autoSpaceDE/>
        <w:autoSpaceDN/>
        <w:adjustRightInd/>
        <w:spacing w:line="265" w:lineRule="exact"/>
        <w:ind w:left="72" w:right="7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por canceladas las concesiones de Taxi indicadas en el punto anterior, dado que las mismas no se encuentran con plazo vigente, y los concesionarios nunc</w:t>
      </w:r>
      <w:r>
        <w:rPr>
          <w:rFonts w:ascii="Verdana" w:hAnsi="Verdana" w:cs="Verdana"/>
          <w:i/>
          <w:iCs/>
          <w:sz w:val="22"/>
          <w:szCs w:val="22"/>
          <w:lang w:val="es-ES" w:eastAsia="es-ES"/>
        </w:rPr>
        <w:t>a acudieron a la formalización de la renovación promovida por la Administración Concedente, ni tampoco solicitaron la renovación antes del vencimiento de la concesión... 4. Instruir al Departamento de Administración de Concesiones y Permisos, realice los t</w:t>
      </w:r>
      <w:r>
        <w:rPr>
          <w:rFonts w:ascii="Verdana" w:hAnsi="Verdana" w:cs="Verdana"/>
          <w:i/>
          <w:iCs/>
          <w:sz w:val="22"/>
          <w:szCs w:val="22"/>
          <w:lang w:val="es-ES" w:eastAsia="es-ES"/>
        </w:rPr>
        <w:t>rámites necesarios y pertinentes, para desinscribir los códigos de servicio público (placas de Taxi) de las unidades de taxi indicadas supra, ante el Registro Nacional, recuperar las placas metálicas, e informar a las autoridades competentes. Para tales ef</w:t>
      </w:r>
      <w:r>
        <w:rPr>
          <w:rFonts w:ascii="Verdana" w:hAnsi="Verdana" w:cs="Verdana"/>
          <w:i/>
          <w:iCs/>
          <w:sz w:val="22"/>
          <w:szCs w:val="22"/>
          <w:lang w:val="es-ES" w:eastAsia="es-ES"/>
        </w:rPr>
        <w:t>ectos se le remiten los ciento setenta y cinco expedientes de dichas placas que se encuentran en la Secretaria de Actas..."</w:t>
      </w:r>
    </w:p>
    <w:p w:rsidR="00000000" w:rsidRDefault="002B22AB">
      <w:pPr>
        <w:kinsoku w:val="0"/>
        <w:overflowPunct w:val="0"/>
        <w:autoSpaceDE/>
        <w:autoSpaceDN/>
        <w:adjustRightInd/>
        <w:spacing w:before="277" w:line="269" w:lineRule="exact"/>
        <w:ind w:left="72" w:right="72"/>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acuerdo 7.11.9 de la Sesión Ordinaria 58-2016 de 16 de noviembre de 2</w:t>
      </w:r>
      <w:r>
        <w:rPr>
          <w:rFonts w:ascii="Verdana" w:hAnsi="Verdana" w:cs="Verdana"/>
          <w:b/>
          <w:bCs/>
          <w:spacing w:val="-2"/>
          <w:sz w:val="22"/>
          <w:szCs w:val="22"/>
          <w:lang w:val="es-ES" w:eastAsia="es-ES"/>
        </w:rPr>
        <w:t xml:space="preserve">016, </w:t>
      </w:r>
      <w:r>
        <w:rPr>
          <w:rFonts w:ascii="Verdana" w:hAnsi="Verdana" w:cs="Verdana"/>
          <w:spacing w:val="-2"/>
          <w:sz w:val="22"/>
          <w:szCs w:val="22"/>
          <w:lang w:val="es-ES" w:eastAsia="es-ES"/>
        </w:rPr>
        <w:t xml:space="preserve">conoce y avala el informe de la Dirección Asuntos Jurídicos el </w:t>
      </w:r>
      <w:r w:rsidR="00D96CFB">
        <w:rPr>
          <w:rFonts w:ascii="Verdana" w:hAnsi="Verdana" w:cs="Verdana"/>
          <w:b/>
          <w:bCs/>
          <w:spacing w:val="-2"/>
          <w:sz w:val="22"/>
          <w:szCs w:val="22"/>
          <w:lang w:val="es-ES" w:eastAsia="es-ES"/>
        </w:rPr>
        <w:t>DAJ</w:t>
      </w:r>
      <w:r>
        <w:rPr>
          <w:rFonts w:ascii="Verdana" w:hAnsi="Verdana" w:cs="Verdana"/>
          <w:b/>
          <w:bCs/>
          <w:spacing w:val="-2"/>
          <w:sz w:val="22"/>
          <w:szCs w:val="22"/>
          <w:lang w:val="es-ES" w:eastAsia="es-ES"/>
        </w:rPr>
        <w:t>-2016003779 de 4 de noviembre de 2016 y rechaza el Recurso de Revocatoria y la Nulidad invocadas por improcedente.</w:t>
      </w:r>
    </w:p>
    <w:p w:rsidR="00000000" w:rsidRDefault="002B22AB">
      <w:pPr>
        <w:kinsoku w:val="0"/>
        <w:overflowPunct w:val="0"/>
        <w:autoSpaceDE/>
        <w:autoSpaceDN/>
        <w:adjustRightInd/>
        <w:spacing w:before="535" w:line="264"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EL RECURRENTE</w:t>
      </w:r>
    </w:p>
    <w:p w:rsidR="00000000" w:rsidRDefault="002B22AB">
      <w:pPr>
        <w:kinsoku w:val="0"/>
        <w:overflowPunct w:val="0"/>
        <w:autoSpaceDE/>
        <w:autoSpaceDN/>
        <w:adjustRightInd/>
        <w:spacing w:before="250"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recurrente presenta Recurso de Apelación contra el acuerdo impugnado indicando en lo conducente, que no es cierto que no gestionó la renovación de su concesión pues si lo hizo y presentó la solicitud y firmó un contrato del que se le dijo se le notifica</w:t>
      </w:r>
      <w:r>
        <w:rPr>
          <w:rFonts w:ascii="Verdana" w:hAnsi="Verdana" w:cs="Verdana"/>
          <w:sz w:val="22"/>
          <w:szCs w:val="22"/>
          <w:lang w:val="es-ES" w:eastAsia="es-ES"/>
        </w:rPr>
        <w:t>ría en febrero y marzo de 2016, cuando estuviera firmado por los funcionarios competentes. El acto impugnado es arbitrario lo deja en estado de indefensión pues dada la naturaleza del acto el medio para suprimirle un derecho subjetivo es por medio de un pr</w:t>
      </w:r>
      <w:r>
        <w:rPr>
          <w:rFonts w:ascii="Verdana" w:hAnsi="Verdana" w:cs="Verdana"/>
          <w:sz w:val="22"/>
          <w:szCs w:val="22"/>
          <w:lang w:val="es-ES" w:eastAsia="es-ES"/>
        </w:rPr>
        <w:t>ocedimiento administrativo, además de que se violenta el numeral 136 de la LAGP y los artículos 39 y 41 de la Constitución Política. No ha tenido acceso expedito al expediente administrativo y por tal razón hay aspectos que no recuerda dado el tiempo trans</w:t>
      </w:r>
      <w:r>
        <w:rPr>
          <w:rFonts w:ascii="Verdana" w:hAnsi="Verdana" w:cs="Verdana"/>
          <w:sz w:val="22"/>
          <w:szCs w:val="22"/>
          <w:lang w:val="es-ES" w:eastAsia="es-ES"/>
        </w:rPr>
        <w:t>currido. Solicita se declare con lugar el recurso.</w:t>
      </w:r>
    </w:p>
    <w:p w:rsidR="00000000" w:rsidRDefault="002B22AB">
      <w:pPr>
        <w:kinsoku w:val="0"/>
        <w:overflowPunct w:val="0"/>
        <w:autoSpaceDE/>
        <w:autoSpaceDN/>
        <w:adjustRightInd/>
        <w:spacing w:before="302" w:line="264" w:lineRule="exact"/>
        <w:ind w:left="72" w:right="72"/>
        <w:textAlignment w:val="baseline"/>
        <w:rPr>
          <w:rFonts w:ascii="Verdana" w:hAnsi="Verdana" w:cs="Verdana"/>
          <w:b/>
          <w:bCs/>
          <w:spacing w:val="12"/>
          <w:sz w:val="22"/>
          <w:szCs w:val="22"/>
          <w:lang w:val="es-ES" w:eastAsia="es-ES"/>
        </w:rPr>
      </w:pPr>
      <w:r>
        <w:rPr>
          <w:rFonts w:ascii="Verdana" w:hAnsi="Verdana" w:cs="Verdana"/>
          <w:b/>
          <w:bCs/>
          <w:spacing w:val="12"/>
          <w:sz w:val="22"/>
          <w:szCs w:val="22"/>
          <w:lang w:val="es-ES" w:eastAsia="es-ES"/>
        </w:rPr>
        <w:t>DEL PRINCIPIO DE LEGALIDAD</w:t>
      </w:r>
    </w:p>
    <w:p w:rsidR="00000000" w:rsidRDefault="002B22AB">
      <w:pPr>
        <w:kinsoku w:val="0"/>
        <w:overflowPunct w:val="0"/>
        <w:autoSpaceDE/>
        <w:autoSpaceDN/>
        <w:adjustRightInd/>
        <w:spacing w:before="306"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Administración Pública está sometida al Principio de Legalidad, conforme lo establecido en el Artículo 11 de la Constitución Política y el Artículo 11 de la Ley General de la </w:t>
      </w:r>
      <w:r>
        <w:rPr>
          <w:rFonts w:ascii="Verdana" w:hAnsi="Verdana" w:cs="Verdana"/>
          <w:sz w:val="22"/>
          <w:szCs w:val="22"/>
          <w:lang w:val="es-ES" w:eastAsia="es-ES"/>
        </w:rPr>
        <w:t xml:space="preserve">Administración Pública, Ley 6324 de 1978. Este principio constituye la base fundamental que define y delimita la actuación de los órganos de la Administración y por ende de los concesionarios y permisionarios del servicio público, que realizan un servicio </w:t>
      </w:r>
      <w:r>
        <w:rPr>
          <w:rFonts w:ascii="Verdana" w:hAnsi="Verdana" w:cs="Verdana"/>
          <w:sz w:val="22"/>
          <w:szCs w:val="22"/>
          <w:lang w:val="es-ES" w:eastAsia="es-ES"/>
        </w:rPr>
        <w:t>público cedido por el Estado.</w:t>
      </w:r>
    </w:p>
    <w:p w:rsidR="00000000" w:rsidRDefault="002B22AB">
      <w:pPr>
        <w:kinsoku w:val="0"/>
        <w:overflowPunct w:val="0"/>
        <w:autoSpaceDE/>
        <w:autoSpaceDN/>
        <w:adjustRightInd/>
        <w:spacing w:before="278"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000000" w:rsidRDefault="002B22AB">
      <w:pPr>
        <w:kinsoku w:val="0"/>
        <w:overflowPunct w:val="0"/>
        <w:autoSpaceDE/>
        <w:autoSpaceDN/>
        <w:adjustRightInd/>
        <w:spacing w:before="273" w:after="538" w:line="269" w:lineRule="exact"/>
        <w:ind w:left="648" w:right="720"/>
        <w:jc w:val="both"/>
        <w:textAlignment w:val="baseline"/>
        <w:rPr>
          <w:rFonts w:ascii="Verdana" w:hAnsi="Verdana" w:cs="Verdana"/>
          <w:sz w:val="22"/>
          <w:szCs w:val="22"/>
          <w:lang w:val="es-ES" w:eastAsia="es-ES"/>
        </w:rPr>
      </w:pPr>
      <w:r>
        <w:rPr>
          <w:rFonts w:ascii="Verdana" w:hAnsi="Verdana" w:cs="Verdana"/>
          <w:sz w:val="22"/>
          <w:szCs w:val="22"/>
          <w:lang w:val="es-ES" w:eastAsia="es-ES"/>
        </w:rPr>
        <w:t>"II.- Sobre el principio de legalidad: El principio de legalidad que se consagra en el artículo 11 de nuestra Constitución Política, significa</w:t>
      </w:r>
    </w:p>
    <w:p w:rsidR="00000000" w:rsidRDefault="002B22AB">
      <w:pPr>
        <w:widowControl/>
        <w:rPr>
          <w:sz w:val="24"/>
          <w:szCs w:val="24"/>
        </w:rPr>
        <w:sectPr w:rsidR="00000000">
          <w:pgSz w:w="12254" w:h="15821"/>
          <w:pgMar w:top="1360" w:right="1577" w:bottom="305" w:left="1617" w:header="720" w:footer="720" w:gutter="0"/>
          <w:cols w:space="720"/>
          <w:noEndnote/>
        </w:sectPr>
      </w:pPr>
    </w:p>
    <w:p w:rsidR="00000000" w:rsidRDefault="002B22AB">
      <w:pPr>
        <w:widowControl/>
        <w:rPr>
          <w:sz w:val="24"/>
          <w:szCs w:val="24"/>
        </w:rPr>
        <w:sectPr w:rsidR="00000000">
          <w:type w:val="continuous"/>
          <w:pgSz w:w="12254" w:h="15821"/>
          <w:pgMar w:top="1360" w:right="2150" w:bottom="305" w:left="7024" w:header="720" w:footer="720" w:gutter="0"/>
          <w:cols w:space="720"/>
          <w:noEndnote/>
        </w:sectPr>
      </w:pPr>
    </w:p>
    <w:p w:rsidR="00000000" w:rsidRDefault="002B22AB">
      <w:pPr>
        <w:kinsoku w:val="0"/>
        <w:overflowPunct w:val="0"/>
        <w:autoSpaceDE/>
        <w:autoSpaceDN/>
        <w:adjustRightInd/>
        <w:spacing w:before="58" w:line="266" w:lineRule="exact"/>
        <w:ind w:left="648" w:right="720"/>
        <w:jc w:val="both"/>
        <w:textAlignment w:val="baseline"/>
        <w:rPr>
          <w:rFonts w:ascii="Tahoma" w:hAnsi="Tahoma" w:cs="Tahoma"/>
          <w:b/>
          <w:bCs/>
          <w:spacing w:val="12"/>
          <w:sz w:val="22"/>
          <w:szCs w:val="22"/>
          <w:lang w:val="es-ES" w:eastAsia="es-ES"/>
        </w:rPr>
      </w:pPr>
      <w:r>
        <w:rPr>
          <w:rFonts w:ascii="Tahoma" w:hAnsi="Tahoma" w:cs="Tahoma"/>
          <w:spacing w:val="12"/>
          <w:sz w:val="22"/>
          <w:szCs w:val="22"/>
          <w:lang w:val="es-ES" w:eastAsia="es-ES"/>
        </w:rPr>
        <w:lastRenderedPageBreak/>
        <w:t xml:space="preserve">que </w:t>
      </w:r>
      <w:r>
        <w:rPr>
          <w:rFonts w:ascii="Tahoma" w:hAnsi="Tahoma" w:cs="Tahoma"/>
          <w:b/>
          <w:bCs/>
          <w:spacing w:val="12"/>
          <w:sz w:val="22"/>
          <w:szCs w:val="22"/>
          <w:u w:val="single"/>
          <w:lang w:val="es-ES" w:eastAsia="es-ES"/>
        </w:rPr>
        <w:t>los actos y comportamientos de la Administració</w:t>
      </w:r>
      <w:r>
        <w:rPr>
          <w:rFonts w:ascii="Tahoma" w:hAnsi="Tahoma" w:cs="Tahoma"/>
          <w:b/>
          <w:bCs/>
          <w:spacing w:val="12"/>
          <w:sz w:val="22"/>
          <w:szCs w:val="22"/>
          <w:u w:val="single"/>
          <w:lang w:val="es-ES" w:eastAsia="es-ES"/>
        </w:rPr>
        <w:t>n deben  de estar regulados por norma escrita,</w:t>
      </w:r>
      <w:r>
        <w:rPr>
          <w:rFonts w:ascii="Tahoma" w:hAnsi="Tahoma" w:cs="Tahoma"/>
          <w:spacing w:val="12"/>
          <w:sz w:val="22"/>
          <w:szCs w:val="22"/>
          <w:lang w:val="es-ES" w:eastAsia="es-ES"/>
        </w:rPr>
        <w:t xml:space="preserve"> lo que significa desde luego, el sometimiento a la Constitución y a la ley, preferentemente, y en general a todas las normas del ordenamiento jurídico, o sea lo que se conoce como el principio de juridicidad d</w:t>
      </w:r>
      <w:r>
        <w:rPr>
          <w:rFonts w:ascii="Tahoma" w:hAnsi="Tahoma" w:cs="Tahoma"/>
          <w:spacing w:val="12"/>
          <w:sz w:val="22"/>
          <w:szCs w:val="22"/>
          <w:lang w:val="es-ES" w:eastAsia="es-ES"/>
        </w:rPr>
        <w:t xml:space="preserve">e la Administración, </w:t>
      </w:r>
      <w:r>
        <w:rPr>
          <w:rFonts w:ascii="Tahoma" w:hAnsi="Tahoma" w:cs="Tahoma"/>
          <w:b/>
          <w:bCs/>
          <w:spacing w:val="12"/>
          <w:sz w:val="22"/>
          <w:szCs w:val="22"/>
          <w:u w:val="single"/>
          <w:lang w:val="es-ES" w:eastAsia="es-ES"/>
        </w:rPr>
        <w:t xml:space="preserve">el cual significa que las instituciones públicas solamente pueden actuar en la medida en la que se encuentren apoderadas para hacerlo por el mismo ordenamiento y normalmente a texto expreso, en consecuencia solo le es permitido lo que </w:t>
      </w:r>
      <w:r>
        <w:rPr>
          <w:rFonts w:ascii="Tahoma" w:hAnsi="Tahoma" w:cs="Tahoma"/>
          <w:b/>
          <w:bCs/>
          <w:spacing w:val="12"/>
          <w:sz w:val="22"/>
          <w:szCs w:val="22"/>
          <w:u w:val="single"/>
          <w:lang w:val="es-ES" w:eastAsia="es-ES"/>
        </w:rPr>
        <w:t xml:space="preserve">esté constitucionalmente y legalmente autorizado en forma expresa </w:t>
      </w:r>
      <w:r>
        <w:rPr>
          <w:rFonts w:ascii="Verdana" w:hAnsi="Verdana" w:cs="Verdana"/>
          <w:b/>
          <w:bCs/>
          <w:i/>
          <w:iCs/>
          <w:spacing w:val="12"/>
          <w:u w:val="single"/>
          <w:lang w:val="es-ES" w:eastAsia="es-ES"/>
        </w:rPr>
        <w:t>y todo lo que no les esté autorizado les está vedado. "</w:t>
      </w:r>
      <w:r>
        <w:rPr>
          <w:rFonts w:ascii="Tahoma" w:hAnsi="Tahoma" w:cs="Tahoma"/>
          <w:b/>
          <w:bCs/>
          <w:spacing w:val="12"/>
          <w:sz w:val="22"/>
          <w:szCs w:val="22"/>
          <w:lang w:val="es-ES" w:eastAsia="es-ES"/>
        </w:rPr>
        <w:t xml:space="preserve"> (Lo resaltado no es del original)</w:t>
      </w:r>
    </w:p>
    <w:p w:rsidR="00000000" w:rsidRDefault="002B22AB">
      <w:pPr>
        <w:kinsoku w:val="0"/>
        <w:overflowPunct w:val="0"/>
        <w:autoSpaceDE/>
        <w:autoSpaceDN/>
        <w:adjustRightInd/>
        <w:spacing w:before="260" w:line="260" w:lineRule="exact"/>
        <w:ind w:left="72" w:right="72"/>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El Principio de Legalidad constituye pues el marco de acción o actuació</w:t>
      </w:r>
      <w:r>
        <w:rPr>
          <w:rFonts w:ascii="Tahoma" w:hAnsi="Tahoma" w:cs="Tahoma"/>
          <w:spacing w:val="12"/>
          <w:sz w:val="22"/>
          <w:szCs w:val="22"/>
          <w:lang w:val="es-ES" w:eastAsia="es-ES"/>
        </w:rPr>
        <w:t>n al cual se encuentra sujeto todo funcionario público y de no ajustarse a éste sus actos son nulos.</w:t>
      </w:r>
    </w:p>
    <w:p w:rsidR="00000000" w:rsidRDefault="002B22AB">
      <w:pPr>
        <w:kinsoku w:val="0"/>
        <w:overflowPunct w:val="0"/>
        <w:autoSpaceDE/>
        <w:autoSpaceDN/>
        <w:adjustRightInd/>
        <w:spacing w:before="270" w:line="276" w:lineRule="exact"/>
        <w:ind w:left="72" w:right="72"/>
        <w:textAlignment w:val="baseline"/>
        <w:rPr>
          <w:rFonts w:ascii="Tahoma" w:hAnsi="Tahoma" w:cs="Tahoma"/>
          <w:b/>
          <w:bCs/>
          <w:spacing w:val="15"/>
          <w:sz w:val="22"/>
          <w:szCs w:val="22"/>
          <w:lang w:val="es-ES" w:eastAsia="es-ES"/>
        </w:rPr>
      </w:pPr>
      <w:r>
        <w:rPr>
          <w:rFonts w:ascii="Tahoma" w:hAnsi="Tahoma" w:cs="Tahoma"/>
          <w:b/>
          <w:bCs/>
          <w:spacing w:val="15"/>
          <w:sz w:val="22"/>
          <w:szCs w:val="22"/>
          <w:lang w:val="es-ES" w:eastAsia="es-ES"/>
        </w:rPr>
        <w:t>DE LA MOTIVACIÓN DE LOS ACTOS ADMINISTRATIVOS</w:t>
      </w:r>
    </w:p>
    <w:p w:rsidR="00000000" w:rsidRDefault="002B22AB">
      <w:pPr>
        <w:kinsoku w:val="0"/>
        <w:overflowPunct w:val="0"/>
        <w:autoSpaceDE/>
        <w:autoSpaceDN/>
        <w:adjustRightInd/>
        <w:spacing w:before="274" w:line="266" w:lineRule="exact"/>
        <w:ind w:left="72" w:right="72"/>
        <w:jc w:val="both"/>
        <w:textAlignment w:val="baseline"/>
        <w:rPr>
          <w:rFonts w:ascii="Tahoma" w:hAnsi="Tahoma" w:cs="Tahoma"/>
          <w:spacing w:val="13"/>
          <w:sz w:val="22"/>
          <w:szCs w:val="22"/>
          <w:lang w:val="es-ES" w:eastAsia="es-ES"/>
        </w:rPr>
      </w:pPr>
      <w:r>
        <w:rPr>
          <w:rFonts w:ascii="Tahoma" w:hAnsi="Tahoma" w:cs="Tahoma"/>
          <w:spacing w:val="13"/>
          <w:sz w:val="22"/>
          <w:szCs w:val="22"/>
          <w:lang w:val="es-ES" w:eastAsia="es-ES"/>
        </w:rPr>
        <w:t>La Administración, en los casos donde se encuentra en juego intereses legítimos de los administrados, debe se</w:t>
      </w:r>
      <w:r>
        <w:rPr>
          <w:rFonts w:ascii="Tahoma" w:hAnsi="Tahoma" w:cs="Tahoma"/>
          <w:spacing w:val="13"/>
          <w:sz w:val="22"/>
          <w:szCs w:val="22"/>
          <w:lang w:val="es-ES" w:eastAsia="es-ES"/>
        </w:rPr>
        <w:t>r exhaustiva en sus valoraciones técnicas, de modo que no se ponga en entre dicho ni su imparcialidad ni su objetivad, así como que no se le pueda achacar por simples errores perjuicios a una de las partes en la situación jurídica determinada, sin que medi</w:t>
      </w:r>
      <w:r>
        <w:rPr>
          <w:rFonts w:ascii="Tahoma" w:hAnsi="Tahoma" w:cs="Tahoma"/>
          <w:spacing w:val="13"/>
          <w:sz w:val="22"/>
          <w:szCs w:val="22"/>
          <w:lang w:val="es-ES" w:eastAsia="es-ES"/>
        </w:rPr>
        <w:t>e motivo que deje con meridiana claridad establecido, el nexo de causalidad entre el daño causado y el interés público que se está alcanzando con tal acto.</w:t>
      </w:r>
    </w:p>
    <w:p w:rsidR="00000000" w:rsidRDefault="002B22AB">
      <w:pPr>
        <w:kinsoku w:val="0"/>
        <w:overflowPunct w:val="0"/>
        <w:autoSpaceDE/>
        <w:autoSpaceDN/>
        <w:adjustRightInd/>
        <w:spacing w:before="265" w:line="266" w:lineRule="exact"/>
        <w:ind w:left="72" w:right="72"/>
        <w:jc w:val="both"/>
        <w:textAlignment w:val="baseline"/>
        <w:rPr>
          <w:rFonts w:ascii="Tahoma" w:hAnsi="Tahoma" w:cs="Tahoma"/>
          <w:spacing w:val="14"/>
          <w:sz w:val="22"/>
          <w:szCs w:val="22"/>
          <w:lang w:val="es-ES" w:eastAsia="es-ES"/>
        </w:rPr>
      </w:pPr>
      <w:r>
        <w:rPr>
          <w:rFonts w:ascii="Tahoma" w:hAnsi="Tahoma" w:cs="Tahoma"/>
          <w:spacing w:val="14"/>
          <w:sz w:val="22"/>
          <w:szCs w:val="22"/>
          <w:lang w:val="es-ES" w:eastAsia="es-ES"/>
        </w:rPr>
        <w:t>Lo anterior, solo se logra a través de la motivación, pues es allí donde la Administración, podrá ju</w:t>
      </w:r>
      <w:r>
        <w:rPr>
          <w:rFonts w:ascii="Tahoma" w:hAnsi="Tahoma" w:cs="Tahoma"/>
          <w:spacing w:val="14"/>
          <w:sz w:val="22"/>
          <w:szCs w:val="22"/>
          <w:lang w:val="es-ES" w:eastAsia="es-ES"/>
        </w:rPr>
        <w:t>stificar de manera, lógica, técnica, científica o jurídicamente la decisión que ha de adoptar.</w:t>
      </w:r>
    </w:p>
    <w:p w:rsidR="00000000" w:rsidRDefault="002B22AB">
      <w:pPr>
        <w:kinsoku w:val="0"/>
        <w:overflowPunct w:val="0"/>
        <w:autoSpaceDE/>
        <w:autoSpaceDN/>
        <w:adjustRightInd/>
        <w:spacing w:before="241" w:line="266" w:lineRule="exact"/>
        <w:ind w:left="72" w:right="72"/>
        <w:jc w:val="both"/>
        <w:textAlignment w:val="baseline"/>
        <w:rPr>
          <w:rFonts w:ascii="Tahoma" w:hAnsi="Tahoma" w:cs="Tahoma"/>
          <w:spacing w:val="14"/>
          <w:sz w:val="22"/>
          <w:szCs w:val="22"/>
          <w:lang w:val="es-ES" w:eastAsia="es-ES"/>
        </w:rPr>
      </w:pPr>
      <w:r>
        <w:rPr>
          <w:rFonts w:ascii="Tahoma" w:hAnsi="Tahoma" w:cs="Tahoma"/>
          <w:spacing w:val="14"/>
          <w:sz w:val="22"/>
          <w:szCs w:val="22"/>
          <w:lang w:val="es-ES" w:eastAsia="es-ES"/>
        </w:rPr>
        <w:t>En el caso de los informes de los departamentos técnicos, estos deben cumplir con el aspecto de la motivación, más aún cuando son el sustento técnico del acto fi</w:t>
      </w:r>
      <w:r>
        <w:rPr>
          <w:rFonts w:ascii="Tahoma" w:hAnsi="Tahoma" w:cs="Tahoma"/>
          <w:spacing w:val="14"/>
          <w:sz w:val="22"/>
          <w:szCs w:val="22"/>
          <w:lang w:val="es-ES" w:eastAsia="es-ES"/>
        </w:rPr>
        <w:t>nal, ya que en este caso el informe es parte del acto administrativo, una vez que es adoptado y como un todo, si éste carece de motivación, afecta de la misma manera al acto y por lo tanto lo vicia de nulidad por ausencia de aquel elemento.</w:t>
      </w:r>
    </w:p>
    <w:p w:rsidR="00000000" w:rsidRDefault="002B22AB">
      <w:pPr>
        <w:kinsoku w:val="0"/>
        <w:overflowPunct w:val="0"/>
        <w:autoSpaceDE/>
        <w:autoSpaceDN/>
        <w:adjustRightInd/>
        <w:spacing w:before="275" w:line="266" w:lineRule="exact"/>
        <w:ind w:left="72" w:right="72"/>
        <w:jc w:val="both"/>
        <w:textAlignment w:val="baseline"/>
        <w:rPr>
          <w:rFonts w:ascii="Tahoma" w:hAnsi="Tahoma" w:cs="Tahoma"/>
          <w:spacing w:val="14"/>
          <w:sz w:val="22"/>
          <w:szCs w:val="22"/>
          <w:lang w:val="es-ES" w:eastAsia="es-ES"/>
        </w:rPr>
      </w:pPr>
      <w:r>
        <w:rPr>
          <w:rFonts w:ascii="Tahoma" w:hAnsi="Tahoma" w:cs="Tahoma"/>
          <w:spacing w:val="14"/>
          <w:sz w:val="22"/>
          <w:szCs w:val="22"/>
          <w:lang w:val="es-ES" w:eastAsia="es-ES"/>
        </w:rPr>
        <w:t>El Tribunal Con</w:t>
      </w:r>
      <w:r>
        <w:rPr>
          <w:rFonts w:ascii="Tahoma" w:hAnsi="Tahoma" w:cs="Tahoma"/>
          <w:spacing w:val="14"/>
          <w:sz w:val="22"/>
          <w:szCs w:val="22"/>
          <w:lang w:val="es-ES" w:eastAsia="es-ES"/>
        </w:rPr>
        <w:t>tencioso Administrativo Sección II en su sentencia 00542 de las diez horas cincuenta minutos del veintitrés de noviembre del 2007 indicó:</w:t>
      </w:r>
    </w:p>
    <w:p w:rsidR="00000000" w:rsidRDefault="002B22AB">
      <w:pPr>
        <w:kinsoku w:val="0"/>
        <w:overflowPunct w:val="0"/>
        <w:autoSpaceDE/>
        <w:autoSpaceDN/>
        <w:adjustRightInd/>
        <w:spacing w:before="323" w:after="508" w:line="246" w:lineRule="exact"/>
        <w:ind w:left="432" w:right="432"/>
        <w:jc w:val="both"/>
        <w:textAlignment w:val="baseline"/>
        <w:rPr>
          <w:rFonts w:ascii="Verdana" w:hAnsi="Verdana" w:cs="Verdana"/>
          <w:b/>
          <w:bCs/>
          <w:i/>
          <w:iCs/>
          <w:spacing w:val="-1"/>
          <w:lang w:val="es-ES" w:eastAsia="es-ES"/>
        </w:rPr>
      </w:pPr>
      <w:r>
        <w:rPr>
          <w:rFonts w:ascii="Verdana" w:hAnsi="Verdana" w:cs="Verdana"/>
          <w:b/>
          <w:bCs/>
          <w:i/>
          <w:iCs/>
          <w:spacing w:val="-1"/>
          <w:lang w:val="es-ES" w:eastAsia="es-ES"/>
        </w:rPr>
        <w:t xml:space="preserve">"IV.- DE LA MOTIVACIÓN COMO ELEMENTO ESENCIAL DE LA ACTUACIÓN FORMAL DE LA ADMINISTRACIÓN PÚBLICA.- </w:t>
      </w:r>
      <w:r>
        <w:rPr>
          <w:rFonts w:ascii="Verdana" w:hAnsi="Verdana" w:cs="Verdana"/>
          <w:i/>
          <w:iCs/>
          <w:spacing w:val="-1"/>
          <w:lang w:val="es-ES" w:eastAsia="es-ES"/>
        </w:rPr>
        <w:t xml:space="preserve">El </w:t>
      </w:r>
      <w:r>
        <w:rPr>
          <w:rFonts w:ascii="Verdana" w:hAnsi="Verdana" w:cs="Verdana"/>
          <w:b/>
          <w:bCs/>
          <w:i/>
          <w:iCs/>
          <w:spacing w:val="-1"/>
          <w:lang w:val="es-ES" w:eastAsia="es-ES"/>
        </w:rPr>
        <w:t xml:space="preserve">primer motivo de impugnación </w:t>
      </w:r>
      <w:r>
        <w:rPr>
          <w:rFonts w:ascii="Verdana" w:hAnsi="Verdana" w:cs="Verdana"/>
          <w:i/>
          <w:iCs/>
          <w:spacing w:val="-1"/>
          <w:lang w:val="es-ES" w:eastAsia="es-ES"/>
        </w:rPr>
        <w:t xml:space="preserve">es la </w:t>
      </w:r>
      <w:r>
        <w:rPr>
          <w:rFonts w:ascii="Verdana" w:hAnsi="Verdana" w:cs="Verdana"/>
          <w:b/>
          <w:bCs/>
          <w:i/>
          <w:iCs/>
          <w:spacing w:val="-1"/>
          <w:lang w:val="es-ES" w:eastAsia="es-ES"/>
        </w:rPr>
        <w:t xml:space="preserve">falta de fundamentación e incongruencia de la resolución administrativa impugnada . </w:t>
      </w:r>
      <w:r>
        <w:rPr>
          <w:rFonts w:ascii="Verdana" w:hAnsi="Verdana" w:cs="Verdana"/>
          <w:i/>
          <w:iCs/>
          <w:spacing w:val="-1"/>
          <w:lang w:val="es-ES" w:eastAsia="es-ES"/>
        </w:rPr>
        <w:t>En efecto, cabe advertir que la existencia y validez de todo acto administrativo depende de la concurrencia de varios elementos esenciale</w:t>
      </w:r>
      <w:r>
        <w:rPr>
          <w:rFonts w:ascii="Verdana" w:hAnsi="Verdana" w:cs="Verdana"/>
          <w:i/>
          <w:iCs/>
          <w:spacing w:val="-1"/>
          <w:lang w:val="es-ES" w:eastAsia="es-ES"/>
        </w:rPr>
        <w:t xml:space="preserve">s, impuestos por el ordenamiento jurídico, que para una mayor comprensión, pueden clasificarse en </w:t>
      </w:r>
      <w:r>
        <w:rPr>
          <w:rFonts w:ascii="Verdana" w:hAnsi="Verdana" w:cs="Verdana"/>
          <w:b/>
          <w:bCs/>
          <w:i/>
          <w:iCs/>
          <w:spacing w:val="-1"/>
          <w:u w:val="single"/>
          <w:lang w:val="es-ES" w:eastAsia="es-ES"/>
        </w:rPr>
        <w:t xml:space="preserve">materiales </w:t>
      </w:r>
      <w:r>
        <w:rPr>
          <w:rFonts w:ascii="Verdana" w:hAnsi="Verdana" w:cs="Verdana"/>
          <w:b/>
          <w:bCs/>
          <w:i/>
          <w:iCs/>
          <w:spacing w:val="-1"/>
          <w:lang w:val="es-ES" w:eastAsia="es-ES"/>
        </w:rPr>
        <w:t xml:space="preserve">, </w:t>
      </w:r>
      <w:r>
        <w:rPr>
          <w:rFonts w:ascii="Verdana" w:hAnsi="Verdana" w:cs="Verdana"/>
          <w:i/>
          <w:iCs/>
          <w:spacing w:val="-1"/>
          <w:lang w:val="es-ES" w:eastAsia="es-ES"/>
        </w:rPr>
        <w:t xml:space="preserve">relativos a los </w:t>
      </w:r>
      <w:r>
        <w:rPr>
          <w:rFonts w:ascii="Verdana" w:hAnsi="Verdana" w:cs="Verdana"/>
          <w:b/>
          <w:bCs/>
          <w:i/>
          <w:iCs/>
          <w:spacing w:val="-1"/>
          <w:lang w:val="es-ES" w:eastAsia="es-ES"/>
        </w:rPr>
        <w:t xml:space="preserve">elementos subjetivos ( </w:t>
      </w:r>
      <w:r>
        <w:rPr>
          <w:rFonts w:ascii="Verdana" w:hAnsi="Verdana" w:cs="Verdana"/>
          <w:i/>
          <w:iCs/>
          <w:spacing w:val="-1"/>
          <w:lang w:val="es-ES" w:eastAsia="es-ES"/>
        </w:rPr>
        <w:t xml:space="preserve">competencia, legitimación e investidura ), </w:t>
      </w:r>
      <w:r>
        <w:rPr>
          <w:rFonts w:ascii="Verdana" w:hAnsi="Verdana" w:cs="Verdana"/>
          <w:b/>
          <w:bCs/>
          <w:i/>
          <w:iCs/>
          <w:spacing w:val="-1"/>
          <w:lang w:val="es-ES" w:eastAsia="es-ES"/>
        </w:rPr>
        <w:t>objetivos (</w:t>
      </w:r>
    </w:p>
    <w:p w:rsidR="00000000" w:rsidRDefault="002B22AB">
      <w:pPr>
        <w:widowControl/>
        <w:rPr>
          <w:sz w:val="24"/>
          <w:szCs w:val="24"/>
        </w:rPr>
        <w:sectPr w:rsidR="00000000">
          <w:pgSz w:w="12254" w:h="15763"/>
          <w:pgMar w:top="1440" w:right="1527" w:bottom="251" w:left="1667" w:header="720" w:footer="720" w:gutter="0"/>
          <w:cols w:space="720"/>
          <w:noEndnote/>
        </w:sectPr>
      </w:pPr>
    </w:p>
    <w:p w:rsidR="00000000" w:rsidRDefault="002B22AB">
      <w:pPr>
        <w:widowControl/>
        <w:rPr>
          <w:sz w:val="24"/>
          <w:szCs w:val="24"/>
        </w:rPr>
        <w:sectPr w:rsidR="00000000">
          <w:type w:val="continuous"/>
          <w:pgSz w:w="12254" w:h="15763"/>
          <w:pgMar w:top="1440" w:right="1635" w:bottom="251" w:left="7539" w:header="720" w:footer="720" w:gutter="0"/>
          <w:cols w:space="720"/>
          <w:noEndnote/>
        </w:sectPr>
      </w:pPr>
    </w:p>
    <w:p w:rsidR="00000000" w:rsidRDefault="002B22AB">
      <w:pPr>
        <w:kinsoku w:val="0"/>
        <w:overflowPunct w:val="0"/>
        <w:autoSpaceDE/>
        <w:autoSpaceDN/>
        <w:adjustRightInd/>
        <w:spacing w:before="71" w:line="240" w:lineRule="exact"/>
        <w:ind w:left="432" w:right="504"/>
        <w:jc w:val="both"/>
        <w:textAlignment w:val="baseline"/>
        <w:rPr>
          <w:i/>
          <w:iCs/>
          <w:spacing w:val="3"/>
          <w:lang w:val="es-ES" w:eastAsia="es-ES"/>
        </w:rPr>
      </w:pPr>
      <w:r>
        <w:rPr>
          <w:rFonts w:ascii="Verdana" w:hAnsi="Verdana" w:cs="Verdana"/>
          <w:i/>
          <w:iCs/>
          <w:spacing w:val="3"/>
          <w:sz w:val="19"/>
          <w:szCs w:val="19"/>
          <w:lang w:val="es-ES" w:eastAsia="es-ES"/>
        </w:rPr>
        <w:lastRenderedPageBreak/>
        <w:t xml:space="preserve">fin, contenido y motivo -artículos 131, 132 y 133 de la Ley General de la Administración Pública y 49 de la Constitución Política ) y </w:t>
      </w:r>
      <w:r>
        <w:rPr>
          <w:rFonts w:ascii="Verdana" w:hAnsi="Verdana" w:cs="Verdana"/>
          <w:b/>
          <w:bCs/>
          <w:i/>
          <w:iCs/>
          <w:spacing w:val="3"/>
          <w:sz w:val="19"/>
          <w:szCs w:val="19"/>
          <w:u w:val="single"/>
          <w:lang w:val="es-ES" w:eastAsia="es-ES"/>
        </w:rPr>
        <w:t xml:space="preserve">formales </w:t>
      </w:r>
      <w:r>
        <w:rPr>
          <w:rFonts w:ascii="Verdana" w:hAnsi="Verdana" w:cs="Verdana"/>
          <w:b/>
          <w:bCs/>
          <w:i/>
          <w:iCs/>
          <w:spacing w:val="3"/>
          <w:sz w:val="19"/>
          <w:szCs w:val="19"/>
          <w:lang w:val="es-ES" w:eastAsia="es-ES"/>
        </w:rPr>
        <w:t xml:space="preserve">, </w:t>
      </w:r>
      <w:r>
        <w:rPr>
          <w:rFonts w:ascii="Verdana" w:hAnsi="Verdana" w:cs="Verdana"/>
          <w:i/>
          <w:iCs/>
          <w:spacing w:val="3"/>
          <w:sz w:val="19"/>
          <w:szCs w:val="19"/>
          <w:lang w:val="es-ES" w:eastAsia="es-ES"/>
        </w:rPr>
        <w:t>comprensivos de los forma en que se adopta el acto, sea, el medio de expresió</w:t>
      </w:r>
      <w:r>
        <w:rPr>
          <w:rFonts w:ascii="Verdana" w:hAnsi="Verdana" w:cs="Verdana"/>
          <w:i/>
          <w:iCs/>
          <w:spacing w:val="3"/>
          <w:sz w:val="19"/>
          <w:szCs w:val="19"/>
          <w:lang w:val="es-ES" w:eastAsia="es-ES"/>
        </w:rPr>
        <w:t>n o manifestación (instrumentación), la motivación o fundamentación (artículo 136 de la citada Ley General) y el procedimiento seguido para su adopción (artículos 214 y 308 de la Ley General de la Administración Pública y 39 y 41 de la Constitución). La mo</w:t>
      </w:r>
      <w:r>
        <w:rPr>
          <w:rFonts w:ascii="Verdana" w:hAnsi="Verdana" w:cs="Verdana"/>
          <w:i/>
          <w:iCs/>
          <w:spacing w:val="3"/>
          <w:sz w:val="19"/>
          <w:szCs w:val="19"/>
          <w:lang w:val="es-ES" w:eastAsia="es-ES"/>
        </w:rPr>
        <w:t>tivación consiste "... en una declaración de cuáles son las circunstancias de hecho y de derecho que han llevado a la respectiva administración pública al dictado o emanación del acto administrativo. La motivación es la expresión formal del motivo y, norma</w:t>
      </w:r>
      <w:r>
        <w:rPr>
          <w:rFonts w:ascii="Verdana" w:hAnsi="Verdana" w:cs="Verdana"/>
          <w:i/>
          <w:iCs/>
          <w:spacing w:val="3"/>
          <w:sz w:val="19"/>
          <w:szCs w:val="19"/>
          <w:lang w:val="es-ES" w:eastAsia="es-ES"/>
        </w:rPr>
        <w:t xml:space="preserve">lmente, en cualquier resolución administrativa, está contenida en los denominados 'considerandos' </w:t>
      </w:r>
      <w:r>
        <w:rPr>
          <w:rFonts w:ascii="Verdana" w:hAnsi="Verdana" w:cs="Verdana"/>
          <w:i/>
          <w:iCs/>
          <w:spacing w:val="3"/>
          <w:sz w:val="19"/>
          <w:szCs w:val="19"/>
          <w:lang w:val="es-ES" w:eastAsia="es-ES"/>
        </w:rPr>
        <w:softHyphen/>
        <w:t>parte considerativa-. La motivación, al consistir en una enunciación de los hechos y del fundamento jurídico que la administración pública tuvo en cuenta par</w:t>
      </w:r>
      <w:r>
        <w:rPr>
          <w:rFonts w:ascii="Verdana" w:hAnsi="Verdana" w:cs="Verdana"/>
          <w:i/>
          <w:iCs/>
          <w:spacing w:val="3"/>
          <w:sz w:val="19"/>
          <w:szCs w:val="19"/>
          <w:lang w:val="es-ES" w:eastAsia="es-ES"/>
        </w:rPr>
        <w:t xml:space="preserve">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3"/>
          <w:sz w:val="19"/>
          <w:szCs w:val="19"/>
          <w:u w:val="single"/>
          <w:lang w:val="es-ES" w:eastAsia="es-ES"/>
        </w:rPr>
        <w:t xml:space="preserve">Tratado de Derecho Administrativo </w:t>
      </w:r>
      <w:r>
        <w:rPr>
          <w:rFonts w:ascii="Verdana" w:hAnsi="Verdana" w:cs="Verdana"/>
          <w:i/>
          <w:iCs/>
          <w:spacing w:val="3"/>
          <w:sz w:val="19"/>
          <w:szCs w:val="19"/>
          <w:lang w:val="es-ES" w:eastAsia="es-ES"/>
        </w:rPr>
        <w:t xml:space="preserve"> . Tomo I. (Par</w:t>
      </w:r>
      <w:r>
        <w:rPr>
          <w:rFonts w:ascii="Verdana" w:hAnsi="Verdana" w:cs="Verdana"/>
          <w:i/>
          <w:iCs/>
          <w:spacing w:val="3"/>
          <w:sz w:val="19"/>
          <w:szCs w:val="19"/>
          <w:lang w:val="es-ES" w:eastAsia="es-ES"/>
        </w:rPr>
        <w:t xml:space="preserve">te General). Biblioteca Jurídica Dike. Primera edición. Medellín , Colombia . 2002. p. 388.) De manera que la motivación debe </w:t>
      </w:r>
      <w:r>
        <w:rPr>
          <w:rFonts w:ascii="Verdana" w:hAnsi="Verdana" w:cs="Verdana"/>
          <w:b/>
          <w:bCs/>
          <w:i/>
          <w:iCs/>
          <w:spacing w:val="3"/>
          <w:sz w:val="19"/>
          <w:szCs w:val="19"/>
          <w:lang w:val="es-ES" w:eastAsia="es-ES"/>
        </w:rPr>
        <w:t xml:space="preserve">determinar la aplicación de un concepto a las circunstancias de hecho singulares de que se trate </w:t>
      </w:r>
      <w:r>
        <w:rPr>
          <w:rFonts w:ascii="Verdana" w:hAnsi="Verdana" w:cs="Verdana"/>
          <w:i/>
          <w:iCs/>
          <w:spacing w:val="3"/>
          <w:sz w:val="19"/>
          <w:szCs w:val="19"/>
          <w:lang w:val="es-ES" w:eastAsia="es-ES"/>
        </w:rPr>
        <w:t>(según desarrollo de la jurisprud</w:t>
      </w:r>
      <w:r>
        <w:rPr>
          <w:rFonts w:ascii="Verdana" w:hAnsi="Verdana" w:cs="Verdana"/>
          <w:i/>
          <w:iCs/>
          <w:spacing w:val="3"/>
          <w:sz w:val="19"/>
          <w:szCs w:val="19"/>
          <w:lang w:val="es-ES" w:eastAsia="es-ES"/>
        </w:rPr>
        <w:t>encia española, propiamente en la sentencia del 18 de mayo de 1991, RA 4120, aceptando considerando de la apelada, que cita las SSTS de 23 de setiembre de 1969, RA 6078, y 7 de octubre de 1970, RA 4251, citado por el autor Marcos M. Fernando Pablo, en su o</w:t>
      </w:r>
      <w:r>
        <w:rPr>
          <w:rFonts w:ascii="Verdana" w:hAnsi="Verdana" w:cs="Verdana"/>
          <w:i/>
          <w:iCs/>
          <w:spacing w:val="3"/>
          <w:sz w:val="19"/>
          <w:szCs w:val="19"/>
          <w:lang w:val="es-ES" w:eastAsia="es-ES"/>
        </w:rPr>
        <w:t xml:space="preserve">bra La </w:t>
      </w:r>
      <w:r>
        <w:rPr>
          <w:rFonts w:ascii="Verdana" w:hAnsi="Verdana" w:cs="Verdana"/>
          <w:i/>
          <w:iCs/>
          <w:spacing w:val="3"/>
          <w:sz w:val="19"/>
          <w:szCs w:val="19"/>
          <w:u w:val="single"/>
          <w:lang w:val="es-ES" w:eastAsia="es-ES"/>
        </w:rPr>
        <w:t xml:space="preserve">motivación del acto administrativo </w:t>
      </w:r>
      <w:r>
        <w:rPr>
          <w:rFonts w:ascii="Verdana" w:hAnsi="Verdana" w:cs="Verdana"/>
          <w:i/>
          <w:iCs/>
          <w:spacing w:val="3"/>
          <w:sz w:val="19"/>
          <w:szCs w:val="19"/>
          <w:lang w:val="es-ES" w:eastAsia="es-ES"/>
        </w:rPr>
        <w:t xml:space="preserve"> . (Editorial Tecnos, S. A. Madrid. 1993, página 190); es decir, se trata de una deción concreta, que liga los hechos con el sustento normativo; de manera que cuando hay una breve alusión a normas generales y hecho</w:t>
      </w:r>
      <w:r>
        <w:rPr>
          <w:rFonts w:ascii="Verdana" w:hAnsi="Verdana" w:cs="Verdana"/>
          <w:i/>
          <w:iCs/>
          <w:spacing w:val="3"/>
          <w:sz w:val="19"/>
          <w:szCs w:val="19"/>
          <w:lang w:val="es-ES" w:eastAsia="es-ES"/>
        </w:rPr>
        <w:t xml:space="preserve">s inespecíficos, se puede concluir que no hay aporte suficiente de justicación, en la medida en que de ellos no es posible deducir los </w:t>
      </w:r>
      <w:r>
        <w:rPr>
          <w:i/>
          <w:iCs/>
          <w:spacing w:val="3"/>
          <w:lang w:val="es-ES" w:eastAsia="es-ES"/>
        </w:rPr>
        <w:t>elementos valorados por la autoridad gubernativa para tomar la decisión ..."</w:t>
      </w:r>
    </w:p>
    <w:p w:rsidR="00000000" w:rsidRDefault="002B22AB">
      <w:pPr>
        <w:kinsoku w:val="0"/>
        <w:overflowPunct w:val="0"/>
        <w:autoSpaceDE/>
        <w:autoSpaceDN/>
        <w:adjustRightInd/>
        <w:spacing w:before="501" w:line="251"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CASO CONCRETO</w:t>
      </w:r>
    </w:p>
    <w:p w:rsidR="00000000" w:rsidRDefault="002B22AB">
      <w:pPr>
        <w:kinsoku w:val="0"/>
        <w:overflowPunct w:val="0"/>
        <w:autoSpaceDE/>
        <w:autoSpaceDN/>
        <w:adjustRightInd/>
        <w:spacing w:before="243" w:line="270"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Como se verifica de l</w:t>
      </w:r>
      <w:r>
        <w:rPr>
          <w:rFonts w:ascii="Verdana" w:hAnsi="Verdana" w:cs="Verdana"/>
          <w:spacing w:val="-2"/>
          <w:sz w:val="22"/>
          <w:szCs w:val="22"/>
          <w:lang w:val="es-ES" w:eastAsia="es-ES"/>
        </w:rPr>
        <w:t xml:space="preserve">as piezas del expediente, al recurrente se le notificó al correo electrónico </w:t>
      </w:r>
      <w:hyperlink r:id="rId7" w:history="1">
        <w:r w:rsidR="00D96CFB" w:rsidRPr="00D96CFB">
          <w:rPr>
            <w:rStyle w:val="Hipervnculo"/>
            <w:rFonts w:ascii="Verdana" w:hAnsi="Verdana" w:cs="Verdana"/>
            <w:color w:val="auto"/>
            <w:spacing w:val="-2"/>
            <w:sz w:val="22"/>
            <w:szCs w:val="22"/>
            <w:lang w:val="es-ES" w:eastAsia="es-ES"/>
          </w:rPr>
          <w:t>XXXXXXX@hotmail.com</w:t>
        </w:r>
      </w:hyperlink>
      <w:r>
        <w:rPr>
          <w:rFonts w:ascii="Verdana" w:hAnsi="Verdana" w:cs="Verdana"/>
          <w:spacing w:val="-2"/>
          <w:sz w:val="22"/>
          <w:szCs w:val="22"/>
          <w:lang w:val="es-ES" w:eastAsia="es-ES"/>
        </w:rPr>
        <w:t xml:space="preserve"> el 17 de noviembre de 2015 la cita para presentarse a formalizar el contrato de concesión, para el 25 de noviembre de 2015, a las catorce y treinta horas, misma a la cual no acudió el accionante.</w:t>
      </w:r>
    </w:p>
    <w:p w:rsidR="00000000" w:rsidRDefault="002B22AB">
      <w:pPr>
        <w:kinsoku w:val="0"/>
        <w:overflowPunct w:val="0"/>
        <w:autoSpaceDE/>
        <w:autoSpaceDN/>
        <w:adjustRightInd/>
        <w:spacing w:before="265"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recurrente presenta Recurso de Apelación contra el acuer</w:t>
      </w:r>
      <w:r>
        <w:rPr>
          <w:rFonts w:ascii="Verdana" w:hAnsi="Verdana" w:cs="Verdana"/>
          <w:sz w:val="22"/>
          <w:szCs w:val="22"/>
          <w:lang w:val="es-ES" w:eastAsia="es-ES"/>
        </w:rPr>
        <w:t>do impugnado indicando en lo conducente, que no es cierto que no gestionó la renovación de su concesión pues si lo hizo y presentó la solicitud y firmó un contrato del que se le dijo se le notificaría en febrero y marzo de 2016, cuando estuviera firmado po</w:t>
      </w:r>
      <w:r>
        <w:rPr>
          <w:rFonts w:ascii="Verdana" w:hAnsi="Verdana" w:cs="Verdana"/>
          <w:sz w:val="22"/>
          <w:szCs w:val="22"/>
          <w:lang w:val="es-ES" w:eastAsia="es-ES"/>
        </w:rPr>
        <w:t>r los funcionarios competentes. El acto impugnado es arbitrario lo deja en estado de indefensión pues dada la naturaleza del acto el medio para suprimirle un derecho subjetivo es por medio de un procedimiento administrativo, además de que se violenta el nu</w:t>
      </w:r>
      <w:r>
        <w:rPr>
          <w:rFonts w:ascii="Verdana" w:hAnsi="Verdana" w:cs="Verdana"/>
          <w:sz w:val="22"/>
          <w:szCs w:val="22"/>
          <w:lang w:val="es-ES" w:eastAsia="es-ES"/>
        </w:rPr>
        <w:t>meral 136 de la LAGP y los artículos 39 y 41 de la Constitución Política. No ha tenido acceso expedito al expediente administrativo y por tal razón hay aspectos que no recuerda dado el tiempo transcurrido. Solicita se declare con lugar el recurso.</w:t>
      </w:r>
    </w:p>
    <w:p w:rsidR="00000000" w:rsidRDefault="002B22AB">
      <w:pPr>
        <w:widowControl/>
        <w:rPr>
          <w:sz w:val="24"/>
          <w:szCs w:val="24"/>
        </w:rPr>
        <w:sectPr w:rsidR="00000000">
          <w:pgSz w:w="12254" w:h="15763"/>
          <w:pgMar w:top="1320" w:right="1549" w:bottom="327" w:left="1645" w:header="720" w:footer="720" w:gutter="0"/>
          <w:cols w:space="720"/>
          <w:noEndnote/>
        </w:sectPr>
      </w:pPr>
    </w:p>
    <w:p w:rsidR="00000000" w:rsidRDefault="002B22AB">
      <w:pPr>
        <w:kinsoku w:val="0"/>
        <w:overflowPunct w:val="0"/>
        <w:autoSpaceDE/>
        <w:autoSpaceDN/>
        <w:adjustRightInd/>
        <w:spacing w:before="19"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El recurrente no aporta prueba alguna que sustente y desvirtue las pruebas de la Administración como lo es el comprobante de correo enviado, por lo anterior es claro que hay un incumplimiento de la normativa y por l</w:t>
      </w:r>
      <w:r>
        <w:rPr>
          <w:rFonts w:ascii="Verdana" w:hAnsi="Verdana" w:cs="Verdana"/>
          <w:sz w:val="22"/>
          <w:szCs w:val="22"/>
          <w:lang w:val="es-ES" w:eastAsia="es-ES"/>
        </w:rPr>
        <w:t>o tanto la actuación del Consejo de Transporte Público se dio dentro del Principio de Legalidad y el acto fue debidamente motivado.</w:t>
      </w:r>
    </w:p>
    <w:p w:rsidR="00000000" w:rsidRDefault="002B22AB">
      <w:pPr>
        <w:kinsoku w:val="0"/>
        <w:overflowPunct w:val="0"/>
        <w:autoSpaceDE/>
        <w:autoSpaceDN/>
        <w:adjustRightInd/>
        <w:spacing w:before="287"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Consejo de Transporte Público cita al recurrente para formalizar la renovación del derecho de concesión recién adquirida </w:t>
      </w:r>
      <w:r>
        <w:rPr>
          <w:rFonts w:ascii="Verdana" w:hAnsi="Verdana" w:cs="Verdana"/>
          <w:sz w:val="22"/>
          <w:szCs w:val="22"/>
          <w:lang w:val="es-ES" w:eastAsia="es-ES"/>
        </w:rPr>
        <w:t>por el recurrente, a la cual no se presenta, sin justificar su ausencia.</w:t>
      </w:r>
    </w:p>
    <w:p w:rsidR="00000000" w:rsidRDefault="002B22AB">
      <w:pPr>
        <w:kinsoku w:val="0"/>
        <w:overflowPunct w:val="0"/>
        <w:autoSpaceDE/>
        <w:autoSpaceDN/>
        <w:adjustRightInd/>
        <w:spacing w:before="284"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Mediante la elevación del expediente administrativo, la Administración aporta prueba de que lo que firmó el recurrente fue el adendum del contrato en el que se consolidaba el traspaso</w:t>
      </w:r>
      <w:r>
        <w:rPr>
          <w:rFonts w:ascii="Verdana" w:hAnsi="Verdana" w:cs="Verdana"/>
          <w:sz w:val="22"/>
          <w:szCs w:val="22"/>
          <w:lang w:val="es-ES" w:eastAsia="es-ES"/>
        </w:rPr>
        <w:t xml:space="preserve"> de la placa TH-</w:t>
      </w:r>
      <w:r w:rsidR="00D96CFB">
        <w:rPr>
          <w:rFonts w:ascii="Verdana" w:hAnsi="Verdana" w:cs="Verdana"/>
          <w:sz w:val="22"/>
          <w:szCs w:val="22"/>
          <w:lang w:val="es-ES" w:eastAsia="es-ES"/>
        </w:rPr>
        <w:t>XXX</w:t>
      </w:r>
      <w:r>
        <w:rPr>
          <w:rFonts w:ascii="Verdana" w:hAnsi="Verdana" w:cs="Verdana"/>
          <w:sz w:val="22"/>
          <w:szCs w:val="22"/>
          <w:lang w:val="es-ES" w:eastAsia="es-ES"/>
        </w:rPr>
        <w:t xml:space="preserve"> del antiguo concesionario en favor del accionante (ver folios 114 al 117).</w:t>
      </w:r>
    </w:p>
    <w:p w:rsidR="00000000" w:rsidRDefault="002B22AB">
      <w:pPr>
        <w:kinsoku w:val="0"/>
        <w:overflowPunct w:val="0"/>
        <w:autoSpaceDE/>
        <w:autoSpaceDN/>
        <w:adjustRightInd/>
        <w:spacing w:before="288" w:line="265" w:lineRule="exact"/>
        <w:ind w:left="72" w:right="72"/>
        <w:jc w:val="both"/>
        <w:textAlignment w:val="baseline"/>
        <w:rPr>
          <w:rFonts w:ascii="Verdana" w:hAnsi="Verdana" w:cs="Verdana"/>
          <w:b/>
          <w:bCs/>
          <w:sz w:val="22"/>
          <w:szCs w:val="22"/>
          <w:u w:val="single"/>
          <w:lang w:val="es-ES" w:eastAsia="es-ES"/>
        </w:rPr>
      </w:pPr>
      <w:r>
        <w:rPr>
          <w:rFonts w:ascii="Verdana" w:hAnsi="Verdana" w:cs="Verdana"/>
          <w:sz w:val="22"/>
          <w:szCs w:val="22"/>
          <w:lang w:val="es-ES" w:eastAsia="es-ES"/>
        </w:rPr>
        <w:t xml:space="preserve">La Administración notifica debidamente al medio señalado por el recurrente la cita otorgada para la renovación dispuesta, de lo cual aporta prueba, </w:t>
      </w:r>
      <w:r>
        <w:rPr>
          <w:rFonts w:ascii="Verdana" w:hAnsi="Verdana" w:cs="Verdana"/>
          <w:b/>
          <w:bCs/>
          <w:sz w:val="22"/>
          <w:szCs w:val="22"/>
          <w:u w:val="single"/>
          <w:lang w:val="es-ES" w:eastAsia="es-ES"/>
        </w:rPr>
        <w:t xml:space="preserve">(véase folio </w:t>
      </w:r>
      <w:r>
        <w:rPr>
          <w:rFonts w:ascii="Verdana" w:hAnsi="Verdana" w:cs="Verdana"/>
          <w:b/>
          <w:bCs/>
          <w:sz w:val="22"/>
          <w:szCs w:val="22"/>
          <w:u w:val="single"/>
          <w:lang w:val="es-ES" w:eastAsia="es-ES"/>
        </w:rPr>
        <w:t>89 del expediente administrativo)</w:t>
      </w:r>
      <w:r>
        <w:rPr>
          <w:rFonts w:ascii="Verdana" w:hAnsi="Verdana" w:cs="Verdana"/>
          <w:sz w:val="22"/>
          <w:szCs w:val="22"/>
          <w:lang w:val="es-ES" w:eastAsia="es-ES"/>
        </w:rPr>
        <w:t xml:space="preserve"> sobre la notificación al correo indicado por el recurrente de la cita para firmar la renovación de su contrato de concesión a </w:t>
      </w:r>
      <w:r>
        <w:rPr>
          <w:rFonts w:ascii="Verdana" w:hAnsi="Verdana" w:cs="Verdana"/>
          <w:b/>
          <w:bCs/>
          <w:sz w:val="22"/>
          <w:szCs w:val="22"/>
          <w:u w:val="single"/>
          <w:lang w:val="es-ES" w:eastAsia="es-ES"/>
        </w:rPr>
        <w:t>la cual no se presentó.</w:t>
      </w:r>
    </w:p>
    <w:p w:rsidR="00000000" w:rsidRDefault="002B22AB">
      <w:pPr>
        <w:kinsoku w:val="0"/>
        <w:overflowPunct w:val="0"/>
        <w:autoSpaceDE/>
        <w:autoSpaceDN/>
        <w:adjustRightInd/>
        <w:spacing w:before="280"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Ante el vencimiento del plazo del contrato de concesión, la ausencia del</w:t>
      </w:r>
      <w:r>
        <w:rPr>
          <w:rFonts w:ascii="Verdana" w:hAnsi="Verdana" w:cs="Verdana"/>
          <w:sz w:val="22"/>
          <w:szCs w:val="22"/>
          <w:lang w:val="es-ES" w:eastAsia="es-ES"/>
        </w:rPr>
        <w:t xml:space="preserve"> concesionario para solicitar y tramitar la prórroga correspondiente, la Administración procede conforme a derecho.</w:t>
      </w:r>
    </w:p>
    <w:p w:rsidR="00000000" w:rsidRDefault="002B22AB">
      <w:pPr>
        <w:kinsoku w:val="0"/>
        <w:overflowPunct w:val="0"/>
        <w:autoSpaceDE/>
        <w:autoSpaceDN/>
        <w:adjustRightInd/>
        <w:spacing w:before="277"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Consejo podrá cancelar la concesión administrativamente, según lo dispuesto en el Artículo 40 de esa ley, por las siguientes causales:</w:t>
      </w:r>
    </w:p>
    <w:p w:rsidR="00000000" w:rsidRDefault="002B22AB">
      <w:pPr>
        <w:kinsoku w:val="0"/>
        <w:overflowPunct w:val="0"/>
        <w:autoSpaceDE/>
        <w:autoSpaceDN/>
        <w:adjustRightInd/>
        <w:spacing w:before="314" w:line="262" w:lineRule="exact"/>
        <w:ind w:left="72" w:right="72"/>
        <w:jc w:val="center"/>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"a) Incumplir las obligaciones y los deberes fijados en esta</w:t>
      </w:r>
    </w:p>
    <w:p w:rsidR="00000000" w:rsidRDefault="002B22AB">
      <w:pPr>
        <w:kinsoku w:val="0"/>
        <w:overflowPunct w:val="0"/>
        <w:autoSpaceDE/>
        <w:autoSpaceDN/>
        <w:adjustRightInd/>
        <w:spacing w:before="7" w:line="262" w:lineRule="exact"/>
        <w:ind w:left="72" w:right="72"/>
        <w:jc w:val="center"/>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ley, su reglamento, el contrato o leyes y reglamentos conexos.</w:t>
      </w:r>
    </w:p>
    <w:p w:rsidR="00000000" w:rsidRDefault="002B22AB">
      <w:pPr>
        <w:numPr>
          <w:ilvl w:val="0"/>
          <w:numId w:val="5"/>
        </w:numPr>
        <w:kinsoku w:val="0"/>
        <w:overflowPunct w:val="0"/>
        <w:autoSpaceDE/>
        <w:autoSpaceDN/>
        <w:adjustRightInd/>
        <w:spacing w:line="260"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Comprobar, en cualquier momento, la presentación de datos falsos o inexactos en la oferta.</w:t>
      </w:r>
    </w:p>
    <w:p w:rsidR="00000000" w:rsidRDefault="002B22AB">
      <w:pPr>
        <w:numPr>
          <w:ilvl w:val="0"/>
          <w:numId w:val="5"/>
        </w:numPr>
        <w:kinsoku w:val="0"/>
        <w:overflowPunct w:val="0"/>
        <w:autoSpaceDE/>
        <w:autoSpaceDN/>
        <w:adjustRightInd/>
        <w:spacing w:before="50" w:line="238"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Ceder la concesió</w:t>
      </w:r>
      <w:r>
        <w:rPr>
          <w:rFonts w:ascii="Verdana" w:hAnsi="Verdana" w:cs="Verdana"/>
          <w:i/>
          <w:iCs/>
          <w:sz w:val="22"/>
          <w:szCs w:val="22"/>
          <w:lang w:val="es-ES" w:eastAsia="es-ES"/>
        </w:rPr>
        <w:t>n a favor de un tercero, sin autorización del Consejo.</w:t>
      </w:r>
    </w:p>
    <w:p w:rsidR="00000000" w:rsidRDefault="002B22AB">
      <w:pPr>
        <w:numPr>
          <w:ilvl w:val="0"/>
          <w:numId w:val="6"/>
        </w:numPr>
        <w:kinsoku w:val="0"/>
        <w:overflowPunct w:val="0"/>
        <w:autoSpaceDE/>
        <w:autoSpaceDN/>
        <w:adjustRightInd/>
        <w:spacing w:before="18" w:line="262" w:lineRule="exact"/>
        <w:ind w:right="648"/>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Dejar de formalizar el contrato de concesión por treinta días, contados a partir de la adjudicación.</w:t>
      </w:r>
    </w:p>
    <w:p w:rsidR="00000000" w:rsidRDefault="002B22AB">
      <w:pPr>
        <w:numPr>
          <w:ilvl w:val="0"/>
          <w:numId w:val="5"/>
        </w:numPr>
        <w:kinsoku w:val="0"/>
        <w:overflowPunct w:val="0"/>
        <w:autoSpaceDE/>
        <w:autoSpaceDN/>
        <w:adjustRightInd/>
        <w:spacing w:before="2" w:line="262"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Incurrir en las causales establecidas para la rescisión y resolución contractual dispuestas </w:t>
      </w:r>
      <w:r>
        <w:rPr>
          <w:rFonts w:ascii="Verdana" w:hAnsi="Verdana" w:cs="Verdana"/>
          <w:i/>
          <w:iCs/>
          <w:sz w:val="22"/>
          <w:szCs w:val="22"/>
          <w:lang w:val="es-ES" w:eastAsia="es-ES"/>
        </w:rPr>
        <w:t>en la Ley de Contratación Administrativa y su reglamento.</w:t>
      </w:r>
    </w:p>
    <w:p w:rsidR="00000000" w:rsidRDefault="002B22AB">
      <w:pPr>
        <w:numPr>
          <w:ilvl w:val="0"/>
          <w:numId w:val="5"/>
        </w:numPr>
        <w:kinsoku w:val="0"/>
        <w:overflowPunct w:val="0"/>
        <w:autoSpaceDE/>
        <w:autoSpaceDN/>
        <w:adjustRightInd/>
        <w:spacing w:line="254" w:lineRule="exact"/>
        <w:ind w:right="72"/>
        <w:jc w:val="both"/>
        <w:textAlignment w:val="baseline"/>
        <w:rPr>
          <w:rFonts w:ascii="Verdana" w:hAnsi="Verdana" w:cs="Verdana"/>
          <w:i/>
          <w:iCs/>
          <w:spacing w:val="-5"/>
          <w:sz w:val="22"/>
          <w:szCs w:val="22"/>
          <w:lang w:val="es-ES" w:eastAsia="es-ES"/>
        </w:rPr>
      </w:pPr>
      <w:r>
        <w:rPr>
          <w:rFonts w:ascii="Verdana" w:hAnsi="Verdana" w:cs="Verdana"/>
          <w:i/>
          <w:iCs/>
          <w:spacing w:val="-5"/>
          <w:sz w:val="22"/>
          <w:szCs w:val="22"/>
          <w:lang w:val="es-ES" w:eastAsia="es-ES"/>
        </w:rPr>
        <w:t>Cumplir el plazo.</w:t>
      </w:r>
    </w:p>
    <w:p w:rsidR="00000000" w:rsidRDefault="002B22AB">
      <w:pPr>
        <w:numPr>
          <w:ilvl w:val="0"/>
          <w:numId w:val="5"/>
        </w:numPr>
        <w:kinsoku w:val="0"/>
        <w:overflowPunct w:val="0"/>
        <w:autoSpaceDE/>
        <w:autoSpaceDN/>
        <w:adjustRightInd/>
        <w:spacing w:before="38" w:line="262" w:lineRule="exact"/>
        <w:ind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Por remate judicial, declarado en sentencia firme, del vehículo objeto de la concesión." (el resaltado es nuestro)</w:t>
      </w:r>
    </w:p>
    <w:p w:rsidR="00000000" w:rsidRDefault="002B22AB">
      <w:pPr>
        <w:kinsoku w:val="0"/>
        <w:overflowPunct w:val="0"/>
        <w:autoSpaceDE/>
        <w:autoSpaceDN/>
        <w:adjustRightInd/>
        <w:spacing w:before="543" w:after="585"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lo anterior se colige, que el Consejo de Transporte Pú</w:t>
      </w:r>
      <w:r>
        <w:rPr>
          <w:rFonts w:ascii="Verdana" w:hAnsi="Verdana" w:cs="Verdana"/>
          <w:sz w:val="22"/>
          <w:szCs w:val="22"/>
          <w:lang w:val="es-ES" w:eastAsia="es-ES"/>
        </w:rPr>
        <w:t xml:space="preserve">blico, actuó conforme a derecho al no cumplirse por parte del señor </w:t>
      </w:r>
      <w:r>
        <w:rPr>
          <w:rFonts w:ascii="Verdana" w:hAnsi="Verdana" w:cs="Verdana"/>
          <w:b/>
          <w:bCs/>
          <w:sz w:val="19"/>
          <w:szCs w:val="19"/>
          <w:lang w:val="es-ES" w:eastAsia="es-ES"/>
        </w:rPr>
        <w:t>C</w:t>
      </w:r>
      <w:r w:rsidR="00D96CFB">
        <w:rPr>
          <w:rFonts w:ascii="Verdana" w:hAnsi="Verdana" w:cs="Verdana"/>
          <w:b/>
          <w:bCs/>
          <w:sz w:val="19"/>
          <w:szCs w:val="19"/>
          <w:lang w:val="es-ES" w:eastAsia="es-ES"/>
        </w:rPr>
        <w:t>.J.H.</w:t>
      </w:r>
      <w:r>
        <w:rPr>
          <w:rFonts w:ascii="Verdana" w:hAnsi="Verdana" w:cs="Verdana"/>
          <w:b/>
          <w:bCs/>
          <w:sz w:val="19"/>
          <w:szCs w:val="19"/>
          <w:lang w:val="es-ES" w:eastAsia="es-ES"/>
        </w:rPr>
        <w:t xml:space="preserve">, </w:t>
      </w:r>
      <w:r>
        <w:rPr>
          <w:rFonts w:ascii="Verdana" w:hAnsi="Verdana" w:cs="Verdana"/>
          <w:sz w:val="22"/>
          <w:szCs w:val="22"/>
          <w:lang w:val="es-ES" w:eastAsia="es-ES"/>
        </w:rPr>
        <w:t>con su obligación de proceder en el tiempo determinado con la formalización de la prórroga de la concesión otorgada.</w:t>
      </w:r>
    </w:p>
    <w:p w:rsidR="00000000" w:rsidRDefault="002B22AB">
      <w:pPr>
        <w:widowControl/>
        <w:rPr>
          <w:sz w:val="24"/>
          <w:szCs w:val="24"/>
        </w:rPr>
        <w:sectPr w:rsidR="00000000">
          <w:pgSz w:w="12259" w:h="15840"/>
          <w:pgMar w:top="1500" w:right="1549" w:bottom="240" w:left="1650" w:header="720" w:footer="720" w:gutter="0"/>
          <w:cols w:space="720"/>
          <w:noEndnote/>
        </w:sectPr>
      </w:pPr>
    </w:p>
    <w:p w:rsidR="00000000" w:rsidRDefault="002B22AB">
      <w:pPr>
        <w:widowControl/>
        <w:rPr>
          <w:sz w:val="24"/>
          <w:szCs w:val="24"/>
        </w:rPr>
        <w:sectPr w:rsidR="00000000">
          <w:type w:val="continuous"/>
          <w:pgSz w:w="12259" w:h="15840"/>
          <w:pgMar w:top="1500" w:right="1659" w:bottom="240" w:left="7520" w:header="720" w:footer="720" w:gutter="0"/>
          <w:cols w:space="720"/>
          <w:noEndnote/>
        </w:sectPr>
      </w:pPr>
    </w:p>
    <w:p w:rsidR="00000000" w:rsidRDefault="002B22AB">
      <w:pPr>
        <w:kinsoku w:val="0"/>
        <w:overflowPunct w:val="0"/>
        <w:autoSpaceDE/>
        <w:autoSpaceDN/>
        <w:adjustRightInd/>
        <w:spacing w:after="513" w:line="254" w:lineRule="exact"/>
        <w:jc w:val="center"/>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lastRenderedPageBreak/>
        <w:t>POR TANTO</w:t>
      </w:r>
    </w:p>
    <w:p w:rsidR="00000000" w:rsidRDefault="002B22AB">
      <w:pPr>
        <w:widowControl/>
        <w:rPr>
          <w:sz w:val="24"/>
          <w:szCs w:val="24"/>
        </w:rPr>
        <w:sectPr w:rsidR="00000000">
          <w:pgSz w:w="12259" w:h="15840"/>
          <w:pgMar w:top="1940" w:right="5371" w:bottom="324" w:left="5448" w:header="720" w:footer="720" w:gutter="0"/>
          <w:cols w:space="720"/>
          <w:noEndnote/>
        </w:sectPr>
      </w:pPr>
    </w:p>
    <w:p w:rsidR="00000000" w:rsidRDefault="002B22AB">
      <w:pPr>
        <w:numPr>
          <w:ilvl w:val="0"/>
          <w:numId w:val="7"/>
        </w:numPr>
        <w:kinsoku w:val="0"/>
        <w:overflowPunct w:val="0"/>
        <w:autoSpaceDE/>
        <w:autoSpaceDN/>
        <w:adjustRightInd/>
        <w:spacing w:before="28" w:line="267" w:lineRule="exact"/>
        <w:ind w:right="21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Se declara sin lugar el </w:t>
      </w:r>
      <w:r>
        <w:rPr>
          <w:rFonts w:ascii="Verdana" w:hAnsi="Verdana" w:cs="Verdana"/>
          <w:b/>
          <w:bCs/>
          <w:sz w:val="21"/>
          <w:szCs w:val="21"/>
          <w:lang w:val="es-ES" w:eastAsia="es-ES"/>
        </w:rPr>
        <w:t xml:space="preserve">Recurso de Apelación en subsidio, </w:t>
      </w:r>
      <w:r>
        <w:rPr>
          <w:rFonts w:ascii="Verdana" w:hAnsi="Verdana" w:cs="Verdana"/>
          <w:sz w:val="21"/>
          <w:szCs w:val="21"/>
          <w:lang w:val="es-ES" w:eastAsia="es-ES"/>
        </w:rPr>
        <w:t xml:space="preserve">interpuesto por </w:t>
      </w:r>
      <w:r>
        <w:rPr>
          <w:rFonts w:ascii="Verdana" w:hAnsi="Verdana" w:cs="Verdana"/>
          <w:b/>
          <w:bCs/>
          <w:sz w:val="21"/>
          <w:szCs w:val="21"/>
          <w:lang w:val="es-ES" w:eastAsia="es-ES"/>
        </w:rPr>
        <w:t>C</w:t>
      </w:r>
      <w:r w:rsidR="00D96CFB">
        <w:rPr>
          <w:rFonts w:ascii="Verdana" w:hAnsi="Verdana" w:cs="Verdana"/>
          <w:b/>
          <w:bCs/>
          <w:sz w:val="21"/>
          <w:szCs w:val="21"/>
          <w:lang w:val="es-ES" w:eastAsia="es-ES"/>
        </w:rPr>
        <w:t>.J.H.</w:t>
      </w:r>
      <w:r>
        <w:rPr>
          <w:rFonts w:ascii="Verdana" w:hAnsi="Verdana" w:cs="Verdana"/>
          <w:b/>
          <w:bCs/>
          <w:sz w:val="21"/>
          <w:szCs w:val="21"/>
          <w:lang w:val="es-ES" w:eastAsia="es-ES"/>
        </w:rPr>
        <w:t xml:space="preserve">, cédula de identidad número </w:t>
      </w:r>
      <w:r w:rsidR="00D96CFB">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contra el </w:t>
      </w:r>
      <w:r>
        <w:rPr>
          <w:rFonts w:ascii="Verdana" w:hAnsi="Verdana" w:cs="Verdana"/>
          <w:b/>
          <w:bCs/>
          <w:sz w:val="21"/>
          <w:szCs w:val="21"/>
          <w:lang w:val="es-ES" w:eastAsia="es-ES"/>
        </w:rPr>
        <w:t>artículo 7.2 de la Sesió</w:t>
      </w:r>
      <w:r>
        <w:rPr>
          <w:rFonts w:ascii="Verdana" w:hAnsi="Verdana" w:cs="Verdana"/>
          <w:b/>
          <w:bCs/>
          <w:sz w:val="21"/>
          <w:szCs w:val="21"/>
          <w:lang w:val="es-ES" w:eastAsia="es-ES"/>
        </w:rPr>
        <w:t xml:space="preserve">n Ordinaria 40-2016 de 18 de agosto de 2016, </w:t>
      </w:r>
      <w:r>
        <w:rPr>
          <w:rFonts w:ascii="Verdana" w:hAnsi="Verdana" w:cs="Verdana"/>
          <w:sz w:val="21"/>
          <w:szCs w:val="21"/>
          <w:lang w:val="es-ES" w:eastAsia="es-ES"/>
        </w:rPr>
        <w:t>dictado por la Junta Directiva del Consejo de Transporte Público.</w:t>
      </w:r>
    </w:p>
    <w:p w:rsidR="00000000" w:rsidRPr="00D96CFB" w:rsidRDefault="002B22AB" w:rsidP="00D96CFB">
      <w:pPr>
        <w:numPr>
          <w:ilvl w:val="0"/>
          <w:numId w:val="8"/>
        </w:numPr>
        <w:kinsoku w:val="0"/>
        <w:overflowPunct w:val="0"/>
        <w:autoSpaceDE/>
        <w:autoSpaceDN/>
        <w:adjustRightInd/>
        <w:spacing w:before="243" w:after="1218" w:line="292" w:lineRule="exact"/>
        <w:ind w:right="216"/>
        <w:jc w:val="both"/>
        <w:textAlignment w:val="baseline"/>
        <w:rPr>
          <w:sz w:val="24"/>
          <w:szCs w:val="24"/>
        </w:rPr>
      </w:pPr>
      <w:r>
        <w:rPr>
          <w:rFonts w:ascii="Verdana" w:hAnsi="Verdana" w:cs="Verdana"/>
          <w:sz w:val="21"/>
          <w:szCs w:val="21"/>
          <w:lang w:val="es-ES" w:eastAsia="es-ES"/>
        </w:rPr>
        <w:t>De conformidad con el artículo 22, inciso c), de la citada Ley 7969, la</w:t>
      </w:r>
      <w:r w:rsidR="00D96CFB">
        <w:rPr>
          <w:rFonts w:ascii="Verdana" w:hAnsi="Verdana" w:cs="Verdana"/>
          <w:sz w:val="21"/>
          <w:szCs w:val="21"/>
          <w:lang w:val="es-ES" w:eastAsia="es-ES"/>
        </w:rPr>
        <w:t xml:space="preserve"> </w:t>
      </w:r>
      <w:r>
        <w:rPr>
          <w:rFonts w:ascii="Verdana" w:hAnsi="Verdana" w:cs="Verdana"/>
          <w:sz w:val="21"/>
          <w:szCs w:val="21"/>
          <w:lang w:val="es-ES" w:eastAsia="es-ES"/>
        </w:rPr>
        <w:t xml:space="preserve">presente resolución no tiene ulterior recurso por lo que, </w:t>
      </w:r>
      <w:r>
        <w:rPr>
          <w:rFonts w:ascii="Verdana" w:hAnsi="Verdana" w:cs="Verdana"/>
          <w:b/>
          <w:bCs/>
          <w:sz w:val="21"/>
          <w:szCs w:val="21"/>
          <w:lang w:val="es-ES" w:eastAsia="es-ES"/>
        </w:rPr>
        <w:t xml:space="preserve">se </w:t>
      </w:r>
      <w:r>
        <w:rPr>
          <w:rFonts w:ascii="Verdana" w:hAnsi="Verdana" w:cs="Verdana"/>
          <w:i/>
          <w:iCs/>
          <w:sz w:val="21"/>
          <w:szCs w:val="21"/>
          <w:lang w:val="es-ES" w:eastAsia="es-ES"/>
        </w:rPr>
        <w:t>tiene por</w:t>
      </w:r>
      <w:r w:rsidR="00D96CFB">
        <w:rPr>
          <w:rFonts w:ascii="Verdana" w:hAnsi="Verdana" w:cs="Verdana"/>
          <w:i/>
          <w:iCs/>
          <w:sz w:val="21"/>
          <w:szCs w:val="21"/>
          <w:lang w:val="es-ES" w:eastAsia="es-ES"/>
        </w:rPr>
        <w:t xml:space="preserve"> agotada la vía administrativa. </w:t>
      </w:r>
      <w:r>
        <w:rPr>
          <w:rFonts w:ascii="Verdana" w:hAnsi="Verdana" w:cs="Verdana"/>
          <w:b/>
          <w:bCs/>
          <w:sz w:val="21"/>
          <w:szCs w:val="21"/>
          <w:lang w:val="es-ES" w:eastAsia="es-ES"/>
        </w:rPr>
        <w:t>NOTIFIQUESE</w:t>
      </w:r>
    </w:p>
    <w:p w:rsidR="00D96CFB" w:rsidRPr="00CF40A0" w:rsidRDefault="00D96CFB" w:rsidP="00D96CFB">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bookmarkStart w:id="0" w:name="_GoBack"/>
      <w:r w:rsidRPr="00CF40A0">
        <w:rPr>
          <w:rStyle w:val="CharacterStyle1"/>
          <w:i/>
          <w:iCs/>
          <w:spacing w:val="5"/>
          <w:sz w:val="26"/>
          <w:szCs w:val="26"/>
        </w:rPr>
        <w:t>Lic. Carlos Miguel Portuguez Méndez</w:t>
      </w:r>
    </w:p>
    <w:p w:rsidR="00D96CFB" w:rsidRDefault="00D96CFB" w:rsidP="00D96CFB">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D96CFB" w:rsidRPr="00FC408E" w:rsidRDefault="00D96CFB" w:rsidP="00D96CFB">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bookmarkEnd w:id="0"/>
    <w:p w:rsidR="00D96CFB" w:rsidRPr="00D96CFB" w:rsidRDefault="00D96CFB" w:rsidP="00D96CFB">
      <w:pPr>
        <w:kinsoku w:val="0"/>
        <w:overflowPunct w:val="0"/>
        <w:autoSpaceDE/>
        <w:autoSpaceDN/>
        <w:adjustRightInd/>
        <w:spacing w:before="243" w:after="1218" w:line="292" w:lineRule="exact"/>
        <w:ind w:right="216"/>
        <w:jc w:val="both"/>
        <w:textAlignment w:val="baseline"/>
        <w:rPr>
          <w:sz w:val="24"/>
          <w:szCs w:val="24"/>
        </w:rPr>
      </w:pPr>
    </w:p>
    <w:p w:rsidR="00D96CFB" w:rsidRDefault="00D96CFB" w:rsidP="00D96CFB">
      <w:pPr>
        <w:kinsoku w:val="0"/>
        <w:overflowPunct w:val="0"/>
        <w:autoSpaceDE/>
        <w:autoSpaceDN/>
        <w:adjustRightInd/>
        <w:spacing w:before="243" w:after="1218" w:line="292" w:lineRule="exact"/>
        <w:ind w:right="216"/>
        <w:jc w:val="both"/>
        <w:textAlignment w:val="baseline"/>
        <w:rPr>
          <w:rFonts w:ascii="Verdana" w:hAnsi="Verdana" w:cs="Verdana"/>
          <w:b/>
          <w:bCs/>
          <w:sz w:val="21"/>
          <w:szCs w:val="21"/>
          <w:lang w:val="es-ES" w:eastAsia="es-ES"/>
        </w:rPr>
      </w:pPr>
    </w:p>
    <w:p w:rsidR="00D96CFB" w:rsidRDefault="00D96CFB" w:rsidP="00D96CFB">
      <w:pPr>
        <w:kinsoku w:val="0"/>
        <w:overflowPunct w:val="0"/>
        <w:autoSpaceDE/>
        <w:autoSpaceDN/>
        <w:adjustRightInd/>
        <w:spacing w:before="243" w:after="1218" w:line="292" w:lineRule="exact"/>
        <w:ind w:right="216"/>
        <w:jc w:val="both"/>
        <w:textAlignment w:val="baseline"/>
        <w:rPr>
          <w:sz w:val="24"/>
          <w:szCs w:val="24"/>
        </w:rPr>
        <w:sectPr w:rsidR="00D96CFB">
          <w:type w:val="continuous"/>
          <w:pgSz w:w="12259" w:h="15840"/>
          <w:pgMar w:top="1940" w:right="1457" w:bottom="324" w:left="1742" w:header="720" w:footer="720" w:gutter="0"/>
          <w:cols w:space="720"/>
          <w:noEndnote/>
        </w:sectPr>
      </w:pPr>
    </w:p>
    <w:p w:rsidR="002B22AB" w:rsidRDefault="002B22AB" w:rsidP="00D96CFB">
      <w:pPr>
        <w:tabs>
          <w:tab w:val="right" w:pos="3096"/>
        </w:tabs>
        <w:kinsoku w:val="0"/>
        <w:overflowPunct w:val="0"/>
        <w:autoSpaceDE/>
        <w:autoSpaceDN/>
        <w:adjustRightInd/>
        <w:spacing w:line="275" w:lineRule="exact"/>
        <w:textAlignment w:val="baseline"/>
        <w:rPr>
          <w:sz w:val="24"/>
          <w:szCs w:val="24"/>
          <w:lang w:val="es-ES" w:eastAsia="es-ES"/>
        </w:rPr>
      </w:pPr>
    </w:p>
    <w:sectPr w:rsidR="002B22AB">
      <w:type w:val="continuous"/>
      <w:pgSz w:w="12259" w:h="15840"/>
      <w:pgMar w:top="1940" w:right="1648" w:bottom="324" w:left="75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9BFE"/>
    <w:multiLevelType w:val="singleLevel"/>
    <w:tmpl w:val="01A595F0"/>
    <w:lvl w:ilvl="0">
      <w:start w:val="2"/>
      <w:numFmt w:val="lowerLetter"/>
      <w:lvlText w:val="%1)"/>
      <w:lvlJc w:val="left"/>
      <w:pPr>
        <w:tabs>
          <w:tab w:val="num" w:pos="1368"/>
        </w:tabs>
        <w:ind w:left="648" w:firstLine="432"/>
      </w:pPr>
      <w:rPr>
        <w:rFonts w:ascii="Verdana" w:hAnsi="Verdana" w:cs="Verdana"/>
        <w:i/>
        <w:iCs/>
        <w:snapToGrid/>
        <w:sz w:val="22"/>
        <w:szCs w:val="22"/>
      </w:rPr>
    </w:lvl>
  </w:abstractNum>
  <w:abstractNum w:abstractNumId="1" w15:restartNumberingAfterBreak="0">
    <w:nsid w:val="04F83F83"/>
    <w:multiLevelType w:val="singleLevel"/>
    <w:tmpl w:val="95BCF06E"/>
    <w:lvl w:ilvl="0">
      <w:start w:val="1"/>
      <w:numFmt w:val="upperRoman"/>
      <w:lvlText w:val="%1.-"/>
      <w:lvlJc w:val="left"/>
      <w:pPr>
        <w:tabs>
          <w:tab w:val="num" w:pos="432"/>
        </w:tabs>
      </w:pPr>
      <w:rPr>
        <w:rFonts w:ascii="Verdana" w:hAnsi="Verdana" w:cs="Verdana"/>
        <w:b/>
        <w:snapToGrid/>
        <w:sz w:val="21"/>
        <w:szCs w:val="21"/>
      </w:rPr>
    </w:lvl>
  </w:abstractNum>
  <w:abstractNum w:abstractNumId="2" w15:restartNumberingAfterBreak="0">
    <w:nsid w:val="057E5E53"/>
    <w:multiLevelType w:val="singleLevel"/>
    <w:tmpl w:val="3CCCB521"/>
    <w:lvl w:ilvl="0">
      <w:start w:val="1"/>
      <w:numFmt w:val="decimal"/>
      <w:lvlText w:val="%1.-"/>
      <w:lvlJc w:val="left"/>
      <w:pPr>
        <w:tabs>
          <w:tab w:val="num" w:pos="576"/>
        </w:tabs>
        <w:ind w:left="144"/>
      </w:pPr>
      <w:rPr>
        <w:rFonts w:ascii="Verdana" w:hAnsi="Verdana" w:cs="Verdana"/>
        <w:b/>
        <w:bCs/>
        <w:snapToGrid/>
        <w:sz w:val="22"/>
        <w:szCs w:val="22"/>
      </w:rPr>
    </w:lvl>
  </w:abstractNum>
  <w:abstractNum w:abstractNumId="3" w15:restartNumberingAfterBreak="0">
    <w:nsid w:val="06CC3362"/>
    <w:multiLevelType w:val="singleLevel"/>
    <w:tmpl w:val="0172C290"/>
    <w:lvl w:ilvl="0">
      <w:start w:val="1"/>
      <w:numFmt w:val="upperLetter"/>
      <w:lvlText w:val="%1)."/>
      <w:lvlJc w:val="left"/>
      <w:pPr>
        <w:tabs>
          <w:tab w:val="num" w:pos="502"/>
        </w:tabs>
        <w:ind w:left="142"/>
      </w:pPr>
      <w:rPr>
        <w:rFonts w:ascii="Tahoma" w:hAnsi="Tahoma" w:cs="Tahoma"/>
        <w:b/>
        <w:snapToGrid/>
        <w:spacing w:val="14"/>
        <w:sz w:val="22"/>
        <w:szCs w:val="22"/>
      </w:rPr>
    </w:lvl>
  </w:abstractNum>
  <w:abstractNum w:abstractNumId="4" w15:restartNumberingAfterBreak="0">
    <w:nsid w:val="07EAD89E"/>
    <w:multiLevelType w:val="singleLevel"/>
    <w:tmpl w:val="1390A396"/>
    <w:lvl w:ilvl="0">
      <w:start w:val="4"/>
      <w:numFmt w:val="decimal"/>
      <w:lvlText w:val="%1.-"/>
      <w:lvlJc w:val="left"/>
      <w:pPr>
        <w:tabs>
          <w:tab w:val="num" w:pos="504"/>
        </w:tabs>
        <w:ind w:left="144"/>
      </w:pPr>
      <w:rPr>
        <w:rFonts w:ascii="Tahoma" w:hAnsi="Tahoma" w:cs="Tahoma"/>
        <w:b/>
        <w:bCs/>
        <w:snapToGrid/>
        <w:spacing w:val="15"/>
        <w:sz w:val="22"/>
        <w:szCs w:val="22"/>
      </w:rPr>
    </w:lvl>
  </w:abstractNum>
  <w:num w:numId="1">
    <w:abstractNumId w:val="2"/>
  </w:num>
  <w:num w:numId="2">
    <w:abstractNumId w:val="3"/>
  </w:num>
  <w:num w:numId="3">
    <w:abstractNumId w:val="3"/>
    <w:lvlOverride w:ilvl="0">
      <w:lvl w:ilvl="0">
        <w:numFmt w:val="upperLetter"/>
        <w:lvlText w:val="%1)."/>
        <w:lvlJc w:val="left"/>
        <w:pPr>
          <w:tabs>
            <w:tab w:val="num" w:pos="504"/>
          </w:tabs>
          <w:ind w:left="144"/>
        </w:pPr>
        <w:rPr>
          <w:rFonts w:ascii="Tahoma" w:hAnsi="Tahoma" w:cs="Tahoma"/>
          <w:b/>
          <w:bCs/>
          <w:snapToGrid/>
          <w:spacing w:val="14"/>
          <w:sz w:val="22"/>
          <w:szCs w:val="22"/>
        </w:rPr>
      </w:lvl>
    </w:lvlOverride>
  </w:num>
  <w:num w:numId="4">
    <w:abstractNumId w:val="4"/>
  </w:num>
  <w:num w:numId="5">
    <w:abstractNumId w:val="0"/>
  </w:num>
  <w:num w:numId="6">
    <w:abstractNumId w:val="0"/>
    <w:lvlOverride w:ilvl="0">
      <w:lvl w:ilvl="0">
        <w:numFmt w:val="lowerLetter"/>
        <w:lvlText w:val="%1)"/>
        <w:lvlJc w:val="left"/>
        <w:pPr>
          <w:tabs>
            <w:tab w:val="num" w:pos="1368"/>
          </w:tabs>
          <w:ind w:left="648" w:firstLine="432"/>
        </w:pPr>
        <w:rPr>
          <w:rFonts w:ascii="Verdana" w:hAnsi="Verdana" w:cs="Verdana"/>
          <w:b/>
          <w:bCs/>
          <w:i/>
          <w:iCs/>
          <w:snapToGrid/>
          <w:sz w:val="22"/>
          <w:szCs w:val="22"/>
        </w:rPr>
      </w:lvl>
    </w:lvlOverride>
  </w:num>
  <w:num w:numId="7">
    <w:abstractNumId w:val="1"/>
  </w:num>
  <w:num w:numId="8">
    <w:abstractNumId w:val="1"/>
    <w:lvlOverride w:ilvl="0">
      <w:lvl w:ilvl="0">
        <w:numFmt w:val="upperRoman"/>
        <w:lvlText w:val="%1.-"/>
        <w:lvlJc w:val="left"/>
        <w:pPr>
          <w:tabs>
            <w:tab w:val="num" w:pos="576"/>
          </w:tabs>
        </w:pPr>
        <w:rPr>
          <w:rFonts w:ascii="Verdana" w:hAnsi="Verdana" w:cs="Verdana"/>
          <w:b/>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D3"/>
    <w:rsid w:val="002B22AB"/>
    <w:rsid w:val="007B0925"/>
    <w:rsid w:val="00D326D3"/>
    <w:rsid w:val="00D96CF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67A7A"/>
  <w14:defaultImageDpi w14:val="0"/>
  <w15:docId w15:val="{A5B0182C-9A06-4966-9FAE-0FB24207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6CFB"/>
    <w:rPr>
      <w:color w:val="0563C1" w:themeColor="hyperlink"/>
      <w:u w:val="single"/>
    </w:rPr>
  </w:style>
  <w:style w:type="paragraph" w:customStyle="1" w:styleId="Style1">
    <w:name w:val="Style 1"/>
    <w:basedOn w:val="Normal"/>
    <w:uiPriority w:val="99"/>
    <w:rsid w:val="00D96CFB"/>
    <w:rPr>
      <w:lang w:val="es-CR"/>
    </w:rPr>
  </w:style>
  <w:style w:type="character" w:customStyle="1" w:styleId="CharacterStyle1">
    <w:name w:val="Character Style 1"/>
    <w:uiPriority w:val="99"/>
    <w:rsid w:val="00D96C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hotmail.com" TargetMode="External"/><Relationship Id="rId5" Type="http://schemas.openxmlformats.org/officeDocument/2006/relationships/hyperlink" Target="mailto:XXXXXXX@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2919</Words>
  <Characters>16060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2017-02-27T15:29:00Z</dcterms:created>
  <dcterms:modified xsi:type="dcterms:W3CDTF">2017-02-27T15:29:00Z</dcterms:modified>
</cp:coreProperties>
</file>